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6F3A4" w14:textId="77777777" w:rsidR="00226A28" w:rsidRDefault="00117AD2">
      <w:pPr>
        <w:jc w:val="center"/>
      </w:pPr>
      <w:r>
        <w:rPr>
          <w:b/>
          <w:sz w:val="42"/>
        </w:rPr>
        <w:t>СТРАТЕГИЯ ЗА РАЗВИТИЕ</w:t>
      </w:r>
    </w:p>
    <w:p w14:paraId="12FDCBCC" w14:textId="77777777" w:rsidR="00226A28" w:rsidRDefault="00117AD2">
      <w:pPr>
        <w:jc w:val="center"/>
      </w:pPr>
      <w:r>
        <w:rPr>
          <w:b/>
          <w:sz w:val="32"/>
        </w:rPr>
        <w:t>на Асоциацията на жените съдии в България</w:t>
      </w:r>
    </w:p>
    <w:p w14:paraId="2D801632" w14:textId="77777777" w:rsidR="00226A28" w:rsidRDefault="00117AD2">
      <w:pPr>
        <w:jc w:val="center"/>
      </w:pPr>
      <w:r>
        <w:rPr>
          <w:b/>
          <w:sz w:val="32"/>
        </w:rPr>
        <w:t>2027–2030 г.</w:t>
      </w:r>
    </w:p>
    <w:p w14:paraId="25E041C6" w14:textId="77777777" w:rsidR="00226A28" w:rsidRDefault="00226A28"/>
    <w:p w14:paraId="274818F4" w14:textId="00654E8F" w:rsidR="00226A28" w:rsidRPr="00AF2A60" w:rsidRDefault="00AF2A60">
      <w:pPr>
        <w:jc w:val="center"/>
        <w:rPr>
          <w:lang w:val="bg-BG"/>
        </w:rPr>
      </w:pPr>
      <w:r>
        <w:rPr>
          <w:i/>
          <w:lang w:val="bg-BG"/>
        </w:rPr>
        <w:t>Проект</w:t>
      </w:r>
    </w:p>
    <w:p w14:paraId="13F2222F" w14:textId="77777777" w:rsidR="00226A28" w:rsidRDefault="00117AD2">
      <w:r>
        <w:br w:type="page"/>
      </w:r>
    </w:p>
    <w:p w14:paraId="4B161ADF" w14:textId="77777777" w:rsidR="00226A28" w:rsidRDefault="00117AD2">
      <w:pPr>
        <w:pStyle w:val="Heading1"/>
      </w:pPr>
      <w:r>
        <w:lastRenderedPageBreak/>
        <w:t>1. Въведение</w:t>
      </w:r>
    </w:p>
    <w:p w14:paraId="2A11C6E3" w14:textId="77777777" w:rsidR="00226A28" w:rsidRDefault="00117AD2">
      <w:pPr>
        <w:jc w:val="both"/>
      </w:pPr>
      <w:r>
        <w:t>Асоциацията на жените съдии в България (АЖСБ) е професионално сдружение на съдии, създадено с разбирането, че независимото и качествено правосъдие се нуждае не само от устойчиви институции, но и от активна, компетентна и солидарна съдийска общност.</w:t>
      </w:r>
    </w:p>
    <w:p w14:paraId="0707BF32" w14:textId="77777777" w:rsidR="00226A28" w:rsidRDefault="00117AD2">
      <w:pPr>
        <w:jc w:val="both"/>
      </w:pPr>
      <w:r>
        <w:t>Настоящата стратегия определя основните направления за развитие на АЖСБ през периода 2027–2030 г. Тя се основава на целите, заложени в Устава на Асоциацията, и на приоритетите и потребностите, заявени от нейните членове при проведеното през 2026 г. вътрешно проучване.</w:t>
      </w:r>
    </w:p>
    <w:p w14:paraId="4F3E94A4" w14:textId="77777777" w:rsidR="00226A28" w:rsidRDefault="00117AD2">
      <w:pPr>
        <w:jc w:val="both"/>
      </w:pPr>
      <w:r>
        <w:t>Стратегията не представлява изчерпателен план на инициативите на АЖСБ за четиригодишния период. Тя очертава дългосрочните цели и направления, в рамките на които Асоциацията ще развива своята дейност. Конкретните инициативи, партньорства и проекти се определят и актуализират чрез годишните програми за дейността.</w:t>
      </w:r>
    </w:p>
    <w:p w14:paraId="2ED92940" w14:textId="77777777" w:rsidR="00226A28" w:rsidRDefault="00117AD2">
      <w:pPr>
        <w:jc w:val="both"/>
      </w:pPr>
      <w:r>
        <w:t>Този подход позволява последователност в дългосрочните цели и едновременно с това достатъчна гъвкавост за реакция на нови професионални, обществени и технологични предизвикателства.</w:t>
      </w:r>
    </w:p>
    <w:p w14:paraId="5C1055A3" w14:textId="77777777" w:rsidR="00226A28" w:rsidRDefault="00117AD2">
      <w:pPr>
        <w:pStyle w:val="Heading1"/>
      </w:pPr>
      <w:r>
        <w:t>2. Основа и подход при разработването на стратегията</w:t>
      </w:r>
    </w:p>
    <w:p w14:paraId="79B242CD" w14:textId="77777777" w:rsidR="00226A28" w:rsidRDefault="00117AD2">
      <w:pPr>
        <w:jc w:val="both"/>
      </w:pPr>
      <w:r>
        <w:t>Стратегията е разработена въз основа на два основни източника – Устава на АЖСБ и проучването сред членовете на Асоциацията относно приоритетите за периода 2027–2030 г.</w:t>
      </w:r>
    </w:p>
    <w:p w14:paraId="46B9A497" w14:textId="77777777" w:rsidR="00226A28" w:rsidRDefault="00117AD2">
      <w:pPr>
        <w:jc w:val="both"/>
      </w:pPr>
      <w:r>
        <w:t>Уставът определя трайната рамка на дейността на Асоциацията и нейните основни цели. Проучването сред членовете дава възможност тези цели да бъдат съотнесени към конкретните професионални потребности и към въпросите, които членовете определят като значими в настоящия момент.</w:t>
      </w:r>
    </w:p>
    <w:p w14:paraId="5AEC00E8" w14:textId="77777777" w:rsidR="00226A28" w:rsidRDefault="00117AD2">
      <w:pPr>
        <w:jc w:val="both"/>
      </w:pPr>
      <w:r>
        <w:t>В проучването участваха 20 от общо 26 членове на АЖСБ – 76,9% от членския състав. То има вътрешен консултативен характер и резултатите му се използват за определяне на стратегическите приоритети, без претенция за представителност извън членската общност на Асоциацията. Пълните резултати са представени в Приложение № 1.</w:t>
      </w:r>
    </w:p>
    <w:p w14:paraId="2AEBAC22" w14:textId="77777777" w:rsidR="00226A28" w:rsidRDefault="00117AD2">
      <w:pPr>
        <w:jc w:val="both"/>
      </w:pPr>
      <w:r>
        <w:t>При определянето на стратегическите приоритети са отчетени и промените в средата, в която функционира съдебната власт – ускореното навлизане на цифровите технологии и изкуствения интелект, необходимостта от защита на независимостта и професионалните стандарти, натоварването и рисковете за професионалното благополучие на съдиите, обществените очаквания към правосъдието и необходимостта от по-добро разбиране на ролята на съда.</w:t>
      </w:r>
    </w:p>
    <w:p w14:paraId="2E3764C0" w14:textId="77777777" w:rsidR="00226A28" w:rsidRDefault="00117AD2">
      <w:pPr>
        <w:pStyle w:val="Heading1"/>
      </w:pPr>
      <w:r>
        <w:t>3. Мисия</w:t>
      </w:r>
    </w:p>
    <w:p w14:paraId="1E20EFC5" w14:textId="77777777" w:rsidR="00226A28" w:rsidRDefault="00117AD2">
      <w:pPr>
        <w:jc w:val="both"/>
      </w:pPr>
      <w:r>
        <w:t>Мисията на Асоциацията на жените съдии в България е да обединява и подкрепя съдиите в утвърждаването на независимо, компетентно и модерно правосъдие, да насърчава професионалното развитие и благополучието на съдийската общност, равните възможности и активния диалог между съда и обществото.</w:t>
      </w:r>
    </w:p>
    <w:p w14:paraId="709B201F" w14:textId="77777777" w:rsidR="00226A28" w:rsidRDefault="00117AD2">
      <w:pPr>
        <w:pStyle w:val="Heading1"/>
      </w:pPr>
      <w:r>
        <w:t>4. Визия за 2030 г.</w:t>
      </w:r>
    </w:p>
    <w:p w14:paraId="0A2C3103" w14:textId="77777777" w:rsidR="00226A28" w:rsidRDefault="00117AD2">
      <w:pPr>
        <w:jc w:val="both"/>
      </w:pPr>
      <w:r>
        <w:t>През 2030 г. АЖСБ е устойчива и разпознаваема професионална организация, която:</w:t>
      </w:r>
    </w:p>
    <w:p w14:paraId="5C60FB5B" w14:textId="77777777" w:rsidR="00226A28" w:rsidRDefault="00117AD2">
      <w:pPr>
        <w:pStyle w:val="ListBullet"/>
        <w:jc w:val="both"/>
      </w:pPr>
      <w:r>
        <w:t>защитава ценностите на съдебната независимост, върховенството на правото, професионалната етика и почтеността;</w:t>
      </w:r>
    </w:p>
    <w:p w14:paraId="0F97C5E7" w14:textId="77777777" w:rsidR="00226A28" w:rsidRDefault="00117AD2">
      <w:pPr>
        <w:pStyle w:val="ListBullet"/>
        <w:jc w:val="both"/>
      </w:pPr>
      <w:r>
        <w:lastRenderedPageBreak/>
        <w:t>създава възможности за професионален обмен, обучение и развитие на съдиите;</w:t>
      </w:r>
    </w:p>
    <w:p w14:paraId="4C8FDB5A" w14:textId="77777777" w:rsidR="00226A28" w:rsidRDefault="00117AD2">
      <w:pPr>
        <w:pStyle w:val="ListBullet"/>
        <w:jc w:val="both"/>
      </w:pPr>
      <w:r>
        <w:t>подпомага отговорното използване на новите технологии и изкуствения интелект в професионалната среда;</w:t>
      </w:r>
    </w:p>
    <w:p w14:paraId="45DEDA85" w14:textId="77777777" w:rsidR="00226A28" w:rsidRDefault="00117AD2">
      <w:pPr>
        <w:pStyle w:val="ListBullet"/>
        <w:jc w:val="both"/>
      </w:pPr>
      <w:r>
        <w:t>насърчава култура на професионална подкрепа и грижа за съдийското благополучие;</w:t>
      </w:r>
    </w:p>
    <w:p w14:paraId="1171FD75" w14:textId="77777777" w:rsidR="00226A28" w:rsidRDefault="00117AD2">
      <w:pPr>
        <w:pStyle w:val="ListBullet"/>
        <w:jc w:val="both"/>
      </w:pPr>
      <w:r>
        <w:t>работи за равни възможности и пълноценно професионално развитие на жените съдии;</w:t>
      </w:r>
    </w:p>
    <w:p w14:paraId="5D151C83" w14:textId="77777777" w:rsidR="00226A28" w:rsidRDefault="00117AD2">
      <w:pPr>
        <w:pStyle w:val="ListBullet"/>
        <w:jc w:val="both"/>
      </w:pPr>
      <w:r>
        <w:t>допринася за по-доброто разбиране на правосъдието и ролята на съдията в обществото;</w:t>
      </w:r>
    </w:p>
    <w:p w14:paraId="0DF3B179" w14:textId="77777777" w:rsidR="00226A28" w:rsidRDefault="00117AD2">
      <w:pPr>
        <w:pStyle w:val="ListBullet"/>
        <w:jc w:val="both"/>
      </w:pPr>
      <w:r>
        <w:t>изгражда устойчиви национални и международни партньорства.</w:t>
      </w:r>
    </w:p>
    <w:p w14:paraId="58EC274D" w14:textId="77777777" w:rsidR="00226A28" w:rsidRDefault="00117AD2">
      <w:pPr>
        <w:pStyle w:val="Heading1"/>
      </w:pPr>
      <w:r>
        <w:t>5. Принципи</w:t>
      </w:r>
    </w:p>
    <w:p w14:paraId="76ACA596" w14:textId="77777777" w:rsidR="00226A28" w:rsidRDefault="00117AD2">
      <w:pPr>
        <w:jc w:val="both"/>
      </w:pPr>
      <w:r>
        <w:t>При осъществяване на стратегията АЖСБ се ръководи от принципите на съдебната независимост, върховенството на правото, професионализма, почтеността, равнопоставеността, колегиалността, откритостта и взаимното уважение.</w:t>
      </w:r>
    </w:p>
    <w:p w14:paraId="58596BEB" w14:textId="77777777" w:rsidR="00226A28" w:rsidRDefault="00117AD2">
      <w:pPr>
        <w:jc w:val="both"/>
      </w:pPr>
      <w:r>
        <w:t>Дейността на Асоциацията се основава на доброволното участие и професионалния принос на нейните членове. Партньорствата и проектната дейност се развиват при запазване на независимостта на АЖСБ и в съответствие с нейните уставни цели.</w:t>
      </w:r>
    </w:p>
    <w:p w14:paraId="798DFD18" w14:textId="77777777" w:rsidR="00226A28" w:rsidRDefault="00117AD2">
      <w:pPr>
        <w:pStyle w:val="Heading1"/>
      </w:pPr>
      <w:r>
        <w:t>6. Стратегически приоритети 2027–2030 г.</w:t>
      </w:r>
    </w:p>
    <w:p w14:paraId="5733830B" w14:textId="77777777" w:rsidR="00226A28" w:rsidRDefault="00117AD2">
      <w:pPr>
        <w:jc w:val="both"/>
      </w:pPr>
      <w:r>
        <w:t>За периода 2027–2030 г. АЖСБ определя четири съдържателни стратегически приоритета. Организационният капацитет се разглежда като хоризонтално направление, което подпомага тяхното изпълнение.</w:t>
      </w:r>
    </w:p>
    <w:p w14:paraId="6E372A9D" w14:textId="77777777" w:rsidR="00226A28" w:rsidRDefault="00117AD2">
      <w:pPr>
        <w:pStyle w:val="Heading2"/>
      </w:pPr>
      <w:r>
        <w:t>I. Независимо, компетентно и модерно правосъдие</w:t>
      </w:r>
    </w:p>
    <w:p w14:paraId="556ABF45" w14:textId="77777777" w:rsidR="00226A28" w:rsidRDefault="00117AD2">
      <w:pPr>
        <w:pStyle w:val="Heading3"/>
      </w:pPr>
      <w:r>
        <w:t>Обосновка</w:t>
      </w:r>
    </w:p>
    <w:p w14:paraId="7B38AC2E" w14:textId="77777777" w:rsidR="00226A28" w:rsidRDefault="00117AD2">
      <w:pPr>
        <w:jc w:val="both"/>
      </w:pPr>
      <w:r>
        <w:t>Независимостта на съдебната власт и на отделния съдия е основна гаранция за върховенството на правото и справедливото правораздаване. Тя е неразривно свързана с професионалната компетентност, почтеността и отговорността на съдиите и изисква постоянни усилия за поддържане на високи професионални и етични стандарти.</w:t>
      </w:r>
    </w:p>
    <w:p w14:paraId="4832530D" w14:textId="77777777" w:rsidR="00226A28" w:rsidRDefault="00117AD2">
      <w:pPr>
        <w:jc w:val="both"/>
      </w:pPr>
      <w:r>
        <w:t>Правната и професионалната среда се променя с нарастваща скорост. Развитието на европейското и международното право, цифровизацията на правосъдието и навлизането на системи с изкуствен интелект поставят пред съдиите нови практически и етични въпроси. Необходимо е професионалната общност да участва активно в обсъждането им и да изгражда знания и умения за използване на новите технологии по начин, съвместим с независимостта на съда, защитата на основните права, професионалната тайна и личната отговорност за съдебното решение.</w:t>
      </w:r>
    </w:p>
    <w:p w14:paraId="4DA8FAC1" w14:textId="131F1FFB" w:rsidR="00226A28" w:rsidRDefault="00117AD2">
      <w:pPr>
        <w:jc w:val="both"/>
        <w:rPr>
          <w:lang w:val="bg-BG"/>
        </w:rPr>
      </w:pPr>
      <w:r>
        <w:t>Професионалната етика има</w:t>
      </w:r>
      <w:r w:rsidR="00A42B55">
        <w:rPr>
          <w:lang w:val="bg-BG"/>
        </w:rPr>
        <w:t xml:space="preserve"> огромно значение</w:t>
      </w:r>
      <w:r>
        <w:t xml:space="preserve"> и практическо измерение. </w:t>
      </w:r>
      <w:r w:rsidR="00903A0F">
        <w:rPr>
          <w:lang w:val="bg-BG"/>
        </w:rPr>
        <w:t>К</w:t>
      </w:r>
      <w:r w:rsidR="00903A0F" w:rsidRPr="00903A0F">
        <w:rPr>
          <w:lang w:val="bg-BG"/>
        </w:rPr>
        <w:t>урс</w:t>
      </w:r>
      <w:r w:rsidR="00903A0F">
        <w:rPr>
          <w:lang w:val="bg-BG"/>
        </w:rPr>
        <w:t>ът</w:t>
      </w:r>
      <w:r w:rsidR="00903A0F" w:rsidRPr="00903A0F">
        <w:rPr>
          <w:lang w:val="bg-BG"/>
        </w:rPr>
        <w:t xml:space="preserve"> на обучение </w:t>
      </w:r>
      <w:r w:rsidR="00903A0F">
        <w:rPr>
          <w:lang w:val="bg-BG"/>
        </w:rPr>
        <w:t xml:space="preserve">на младшите съдии </w:t>
      </w:r>
      <w:r w:rsidR="00903A0F" w:rsidRPr="00903A0F">
        <w:rPr>
          <w:lang w:val="bg-BG"/>
        </w:rPr>
        <w:t>в НИП</w:t>
      </w:r>
      <w:r w:rsidR="00903A0F">
        <w:rPr>
          <w:lang w:val="bg-BG"/>
        </w:rPr>
        <w:t xml:space="preserve"> обхваща подготовката по етика</w:t>
      </w:r>
      <w:r w:rsidR="00903A0F" w:rsidRPr="00903A0F">
        <w:rPr>
          <w:lang w:val="bg-BG"/>
        </w:rPr>
        <w:t xml:space="preserve">, но преобладаващият брой съдии </w:t>
      </w:r>
      <w:r w:rsidR="00903A0F">
        <w:rPr>
          <w:lang w:val="bg-BG"/>
        </w:rPr>
        <w:t xml:space="preserve">са постъпили в системата и правораздават много преди въвеждането на подобна дисциплина. </w:t>
      </w:r>
      <w:r w:rsidR="00A42B55" w:rsidRPr="00A42B55">
        <w:rPr>
          <w:lang w:val="bg-BG"/>
        </w:rPr>
        <w:t xml:space="preserve">. В ежедневната работа възникват въпроси, за които общите принципи невинаги дават готов отговор – отношения с колеги и участници в производствата, публични изяви и социални мрежи, участие в обучения и проекти, приемане на покани и подаръци, възможни конфликти на интереси и използване на цифрови инструменти. АЖСБ може да създава среда за професионален и конфиденциален обмен по такива въпроси. </w:t>
      </w:r>
      <w:r w:rsidR="00903A0F">
        <w:rPr>
          <w:lang w:val="bg-BG"/>
        </w:rPr>
        <w:t>О</w:t>
      </w:r>
      <w:r w:rsidR="00903A0F" w:rsidRPr="00903A0F">
        <w:rPr>
          <w:lang w:val="bg-BG"/>
        </w:rPr>
        <w:t>рганиз</w:t>
      </w:r>
      <w:r w:rsidR="00903A0F">
        <w:rPr>
          <w:lang w:val="bg-BG"/>
        </w:rPr>
        <w:t xml:space="preserve">ацията на </w:t>
      </w:r>
      <w:r w:rsidR="00903A0F" w:rsidRPr="00903A0F">
        <w:rPr>
          <w:lang w:val="bg-BG"/>
        </w:rPr>
        <w:t>проучвания, обучения</w:t>
      </w:r>
      <w:r w:rsidR="00DF67C8" w:rsidRPr="00A42B55">
        <w:rPr>
          <w:lang w:val="bg-BG"/>
        </w:rPr>
        <w:t xml:space="preserve"> </w:t>
      </w:r>
      <w:r w:rsidR="00DF67C8">
        <w:rPr>
          <w:lang w:val="bg-BG"/>
        </w:rPr>
        <w:t>и</w:t>
      </w:r>
      <w:r w:rsidR="00903A0F" w:rsidRPr="00903A0F">
        <w:rPr>
          <w:lang w:val="bg-BG"/>
        </w:rPr>
        <w:t xml:space="preserve"> </w:t>
      </w:r>
      <w:r w:rsidR="00903A0F">
        <w:rPr>
          <w:lang w:val="bg-BG"/>
        </w:rPr>
        <w:t xml:space="preserve">детайлизирането на </w:t>
      </w:r>
      <w:r w:rsidR="00903A0F" w:rsidRPr="00903A0F">
        <w:rPr>
          <w:lang w:val="bg-BG"/>
        </w:rPr>
        <w:t>анализ</w:t>
      </w:r>
      <w:r w:rsidR="00903A0F">
        <w:rPr>
          <w:lang w:val="bg-BG"/>
        </w:rPr>
        <w:t>а на резултатите от тях</w:t>
      </w:r>
      <w:r w:rsidR="00A42B55">
        <w:rPr>
          <w:lang w:val="bg-BG"/>
        </w:rPr>
        <w:t>,</w:t>
      </w:r>
      <w:r w:rsidR="00903A0F">
        <w:rPr>
          <w:lang w:val="bg-BG"/>
        </w:rPr>
        <w:t xml:space="preserve"> биха създали стабилна основа за </w:t>
      </w:r>
      <w:r w:rsidR="00903A0F">
        <w:rPr>
          <w:lang w:val="bg-BG"/>
        </w:rPr>
        <w:lastRenderedPageBreak/>
        <w:t xml:space="preserve">разработване на самообучителни материали, съобразена с характеристиките </w:t>
      </w:r>
      <w:r w:rsidR="00DF67C8">
        <w:rPr>
          <w:lang w:val="bg-BG"/>
        </w:rPr>
        <w:t>на националната правна система</w:t>
      </w:r>
      <w:r w:rsidR="00903A0F" w:rsidRPr="00903A0F">
        <w:rPr>
          <w:lang w:val="bg-BG"/>
        </w:rPr>
        <w:t xml:space="preserve">. </w:t>
      </w:r>
      <w:r w:rsidR="00DF67C8">
        <w:rPr>
          <w:lang w:val="bg-BG"/>
        </w:rPr>
        <w:t xml:space="preserve">Необходимо е </w:t>
      </w:r>
      <w:r w:rsidR="00903A0F" w:rsidRPr="00903A0F">
        <w:rPr>
          <w:lang w:val="bg-BG"/>
        </w:rPr>
        <w:t xml:space="preserve">да </w:t>
      </w:r>
      <w:r w:rsidR="00DF67C8">
        <w:rPr>
          <w:lang w:val="bg-BG"/>
        </w:rPr>
        <w:t xml:space="preserve">бъде </w:t>
      </w:r>
      <w:r w:rsidR="00903A0F" w:rsidRPr="00903A0F">
        <w:rPr>
          <w:lang w:val="bg-BG"/>
        </w:rPr>
        <w:t>изясн</w:t>
      </w:r>
      <w:r w:rsidR="00DF67C8">
        <w:rPr>
          <w:lang w:val="bg-BG"/>
        </w:rPr>
        <w:t>ен</w:t>
      </w:r>
      <w:r w:rsidR="00903A0F" w:rsidRPr="00903A0F">
        <w:rPr>
          <w:lang w:val="bg-BG"/>
        </w:rPr>
        <w:t xml:space="preserve"> обем</w:t>
      </w:r>
      <w:r w:rsidR="00DF67C8">
        <w:rPr>
          <w:lang w:val="bg-BG"/>
        </w:rPr>
        <w:t>ът</w:t>
      </w:r>
      <w:r w:rsidR="00903A0F" w:rsidRPr="00903A0F">
        <w:rPr>
          <w:lang w:val="bg-BG"/>
        </w:rPr>
        <w:t xml:space="preserve"> от нравствено етични качества, </w:t>
      </w:r>
      <w:r w:rsidR="00DF67C8">
        <w:rPr>
          <w:lang w:val="bg-BG"/>
        </w:rPr>
        <w:t xml:space="preserve">които следва да </w:t>
      </w:r>
      <w:r w:rsidR="00A42B55">
        <w:rPr>
          <w:lang w:val="bg-BG"/>
        </w:rPr>
        <w:t>притежават</w:t>
      </w:r>
      <w:r w:rsidR="00DF67C8">
        <w:rPr>
          <w:lang w:val="bg-BG"/>
        </w:rPr>
        <w:t xml:space="preserve"> кандидатите за младши съдии </w:t>
      </w:r>
      <w:r w:rsidR="00903A0F" w:rsidRPr="00903A0F">
        <w:rPr>
          <w:lang w:val="bg-BG"/>
        </w:rPr>
        <w:t xml:space="preserve">и съдържанието на критерия "високи нравствено етични качества", относим към кандидатите за председатели на съдилища и членове на СК на ВСС. </w:t>
      </w:r>
      <w:r w:rsidR="00DF67C8">
        <w:rPr>
          <w:lang w:val="bg-BG"/>
        </w:rPr>
        <w:t xml:space="preserve">Следва да се </w:t>
      </w:r>
      <w:r w:rsidR="00903A0F" w:rsidRPr="00903A0F">
        <w:rPr>
          <w:lang w:val="bg-BG"/>
        </w:rPr>
        <w:t>обърне внимание на граница</w:t>
      </w:r>
      <w:r w:rsidR="00DF67C8">
        <w:rPr>
          <w:lang w:val="bg-BG"/>
        </w:rPr>
        <w:t>та</w:t>
      </w:r>
      <w:r w:rsidR="00903A0F" w:rsidRPr="00903A0F">
        <w:rPr>
          <w:lang w:val="bg-BG"/>
        </w:rPr>
        <w:t xml:space="preserve"> между нарушение на етичните правила и дисциплинарно нарушение</w:t>
      </w:r>
      <w:r w:rsidR="00DF67C8">
        <w:rPr>
          <w:lang w:val="bg-BG"/>
        </w:rPr>
        <w:t>, като се потърсят максимално обективни ориентири, насочени към комисиите по етика в съдилищата, ВСС и ИВСС</w:t>
      </w:r>
      <w:r w:rsidR="00A42B55">
        <w:rPr>
          <w:lang w:val="bg-BG"/>
        </w:rPr>
        <w:t>.</w:t>
      </w:r>
      <w:r w:rsidR="00903A0F">
        <w:rPr>
          <w:lang w:val="bg-BG"/>
        </w:rPr>
        <w:t xml:space="preserve"> </w:t>
      </w:r>
    </w:p>
    <w:p w14:paraId="12BB8196" w14:textId="5BE1E0DC" w:rsidR="00FC338B" w:rsidRPr="00903A0F" w:rsidRDefault="00FC338B">
      <w:pPr>
        <w:jc w:val="both"/>
        <w:rPr>
          <w:lang w:val="bg-BG"/>
        </w:rPr>
      </w:pPr>
      <w:r>
        <w:rPr>
          <w:lang w:val="bg-BG"/>
        </w:rPr>
        <w:t xml:space="preserve">Съдебната етика е част от юридическата етика като цяло. </w:t>
      </w:r>
      <w:r w:rsidR="00245FF4">
        <w:rPr>
          <w:lang w:val="bg-BG"/>
        </w:rPr>
        <w:t xml:space="preserve">Затова </w:t>
      </w:r>
      <w:r>
        <w:rPr>
          <w:lang w:val="bg-BG"/>
        </w:rPr>
        <w:t xml:space="preserve">са </w:t>
      </w:r>
      <w:r w:rsidR="00245FF4">
        <w:rPr>
          <w:lang w:val="bg-BG"/>
        </w:rPr>
        <w:t>налице общи и самостоятелни</w:t>
      </w:r>
      <w:r>
        <w:rPr>
          <w:lang w:val="bg-BG"/>
        </w:rPr>
        <w:t xml:space="preserve"> </w:t>
      </w:r>
      <w:r w:rsidR="00245FF4">
        <w:rPr>
          <w:lang w:val="bg-BG"/>
        </w:rPr>
        <w:t>принципи, понятия, институти</w:t>
      </w:r>
      <w:r>
        <w:rPr>
          <w:lang w:val="bg-BG"/>
        </w:rPr>
        <w:t>, даващи повод за</w:t>
      </w:r>
      <w:r w:rsidRPr="00FC338B">
        <w:rPr>
          <w:lang w:val="bg-BG"/>
        </w:rPr>
        <w:t xml:space="preserve"> дискусии, дебати, съвместни срещи с професионалните организации на прокурорите, адвокатите, организации от неправителствения сектор</w:t>
      </w:r>
      <w:r>
        <w:rPr>
          <w:lang w:val="bg-BG"/>
        </w:rPr>
        <w:t>, представителите на обществото</w:t>
      </w:r>
      <w:r w:rsidRPr="00FC338B">
        <w:rPr>
          <w:lang w:val="bg-BG"/>
        </w:rPr>
        <w:t>.</w:t>
      </w:r>
      <w:r w:rsidRPr="00A42B55">
        <w:rPr>
          <w:lang w:val="bg-BG"/>
        </w:rPr>
        <w:t xml:space="preserve"> </w:t>
      </w:r>
      <w:r>
        <w:rPr>
          <w:lang w:val="bg-BG"/>
        </w:rPr>
        <w:t>О</w:t>
      </w:r>
      <w:r w:rsidR="00A957BD">
        <w:rPr>
          <w:lang w:val="bg-BG"/>
        </w:rPr>
        <w:t>чертаването</w:t>
      </w:r>
      <w:r>
        <w:rPr>
          <w:lang w:val="bg-BG"/>
        </w:rPr>
        <w:t xml:space="preserve"> на </w:t>
      </w:r>
      <w:r w:rsidR="00A957BD">
        <w:rPr>
          <w:lang w:val="bg-BG"/>
        </w:rPr>
        <w:t>дължимото от съда поведение, набора от качества и умения и реакцията при овладяване на кризи са неразривно свързани с</w:t>
      </w:r>
      <w:r w:rsidRPr="00FC338B">
        <w:rPr>
          <w:lang w:val="bg-BG"/>
        </w:rPr>
        <w:t xml:space="preserve"> институционалното функциониране на съда и пряко </w:t>
      </w:r>
      <w:r w:rsidR="00A957BD">
        <w:rPr>
          <w:lang w:val="bg-BG"/>
        </w:rPr>
        <w:t>с</w:t>
      </w:r>
      <w:r w:rsidR="00245FF4">
        <w:rPr>
          <w:lang w:val="bg-BG"/>
        </w:rPr>
        <w:t xml:space="preserve"> професионалната компетентност</w:t>
      </w:r>
      <w:r w:rsidRPr="00FC338B">
        <w:rPr>
          <w:lang w:val="bg-BG"/>
        </w:rPr>
        <w:t xml:space="preserve"> на </w:t>
      </w:r>
      <w:r w:rsidR="00A957BD">
        <w:rPr>
          <w:lang w:val="bg-BG"/>
        </w:rPr>
        <w:t>всеки</w:t>
      </w:r>
      <w:r w:rsidRPr="00FC338B">
        <w:rPr>
          <w:lang w:val="bg-BG"/>
        </w:rPr>
        <w:t xml:space="preserve"> български съди</w:t>
      </w:r>
      <w:r w:rsidR="00A957BD">
        <w:rPr>
          <w:lang w:val="bg-BG"/>
        </w:rPr>
        <w:t>я</w:t>
      </w:r>
      <w:r w:rsidRPr="00FC338B">
        <w:rPr>
          <w:lang w:val="bg-BG"/>
        </w:rPr>
        <w:t>.</w:t>
      </w:r>
    </w:p>
    <w:p w14:paraId="66A8A091" w14:textId="63097967" w:rsidR="00226A28" w:rsidRDefault="00E12F37">
      <w:pPr>
        <w:jc w:val="both"/>
        <w:rPr>
          <w:lang w:val="bg-BG"/>
        </w:rPr>
      </w:pPr>
      <w:r>
        <w:rPr>
          <w:lang w:val="bg-BG"/>
        </w:rPr>
        <w:t>И</w:t>
      </w:r>
      <w:r w:rsidR="00FC338B" w:rsidRPr="00FC338B">
        <w:rPr>
          <w:lang w:val="bg-BG"/>
        </w:rPr>
        <w:t xml:space="preserve">зграждане на Стратегия за утвърждаване на професионалния интегритет на съдиите и програма за задължително текущо обучение, което да обхване 2292-мата български съдии. </w:t>
      </w:r>
      <w:r w:rsidR="00A957BD">
        <w:rPr>
          <w:lang w:val="bg-BG"/>
        </w:rPr>
        <w:t>В рамките на първия четиригодишен период от дейността на АЖСБ могат да бъдат установени стандартите, потребностите и практическите провокации към професионалния интегритет. Да бъдат разработени модули и ресурси за специализирани обучения, съобразен</w:t>
      </w:r>
      <w:r w:rsidR="00EE2847">
        <w:rPr>
          <w:lang w:val="bg-BG"/>
        </w:rPr>
        <w:t>и</w:t>
      </w:r>
      <w:r w:rsidR="00A957BD">
        <w:rPr>
          <w:lang w:val="bg-BG"/>
        </w:rPr>
        <w:t xml:space="preserve"> с добрите международни практики и характеристиките на българската съдебна система. Едновременно да се потърси отговор за причините за </w:t>
      </w:r>
      <w:r w:rsidR="00FC338B" w:rsidRPr="00FC338B">
        <w:rPr>
          <w:lang w:val="bg-BG"/>
        </w:rPr>
        <w:t xml:space="preserve">всяко съмнение за паралелно правосъдие и кариерно израстване, чрез т. нар. мрежи за влияние, задкулисие, схеми, в конфликт на интереси, неясни основи на изграждане на вътрешното убеждение. </w:t>
      </w:r>
      <w:r w:rsidR="00EE2847">
        <w:rPr>
          <w:lang w:val="bg-BG"/>
        </w:rPr>
        <w:t xml:space="preserve">Да се обсъдят </w:t>
      </w:r>
      <w:r w:rsidR="00245FF4">
        <w:rPr>
          <w:lang w:val="bg-BG"/>
        </w:rPr>
        <w:t xml:space="preserve">съществуващите модели </w:t>
      </w:r>
      <w:r w:rsidR="00D37136">
        <w:rPr>
          <w:lang w:val="bg-BG"/>
        </w:rPr>
        <w:t>за</w:t>
      </w:r>
      <w:r w:rsidR="00245FF4">
        <w:rPr>
          <w:lang w:val="bg-BG"/>
        </w:rPr>
        <w:t xml:space="preserve"> </w:t>
      </w:r>
      <w:r w:rsidR="00D37136">
        <w:rPr>
          <w:lang w:val="bg-BG"/>
        </w:rPr>
        <w:t>проверка на професионален интегритет</w:t>
      </w:r>
      <w:r w:rsidR="00245FF4">
        <w:rPr>
          <w:lang w:val="bg-BG"/>
        </w:rPr>
        <w:t>, за да се изведе най-подходящият превантивен механизъм за българската съдебна система</w:t>
      </w:r>
      <w:r w:rsidR="00EE2847">
        <w:rPr>
          <w:lang w:val="bg-BG"/>
        </w:rPr>
        <w:t xml:space="preserve">. </w:t>
      </w:r>
      <w:r w:rsidR="00A957BD">
        <w:rPr>
          <w:lang w:val="bg-BG"/>
        </w:rPr>
        <w:t xml:space="preserve">Да се очертае обща визия за Стратегия, която да се предложи на вниманието на ВСС и на НИП. </w:t>
      </w:r>
      <w:r>
        <w:rPr>
          <w:lang w:val="bg-BG"/>
        </w:rPr>
        <w:t xml:space="preserve">В </w:t>
      </w:r>
      <w:r w:rsidR="00117AD2" w:rsidRPr="00A42B55">
        <w:rPr>
          <w:lang w:val="bg-BG"/>
        </w:rPr>
        <w:t>собствената дейност на Асоциацията</w:t>
      </w:r>
      <w:r>
        <w:rPr>
          <w:lang w:val="bg-BG"/>
        </w:rPr>
        <w:t xml:space="preserve"> е необходима п</w:t>
      </w:r>
      <w:r w:rsidR="00117AD2" w:rsidRPr="00A42B55">
        <w:rPr>
          <w:lang w:val="bg-BG"/>
        </w:rPr>
        <w:t>розрачност при инициативите, партньорствата, финансирането и публичните позиции, както и ясно управление на възможни конфликти на интереси.</w:t>
      </w:r>
    </w:p>
    <w:p w14:paraId="4C7F7C32" w14:textId="34B076F7" w:rsidR="00FC338B" w:rsidRPr="00FC338B" w:rsidRDefault="00FC338B">
      <w:pPr>
        <w:jc w:val="both"/>
        <w:rPr>
          <w:lang w:val="bg-BG"/>
        </w:rPr>
      </w:pPr>
      <w:r w:rsidRPr="00FC338B">
        <w:rPr>
          <w:lang w:val="bg-BG"/>
        </w:rPr>
        <w:t>Всичко дотук би било същински принос към общата цел - да се утвърди съдът като независим, безпристрастен, справедлив.</w:t>
      </w:r>
    </w:p>
    <w:p w14:paraId="6E24CE70" w14:textId="77777777" w:rsidR="00226A28" w:rsidRPr="00A42B55" w:rsidRDefault="00117AD2">
      <w:pPr>
        <w:pStyle w:val="Heading3"/>
        <w:rPr>
          <w:lang w:val="bg-BG"/>
        </w:rPr>
      </w:pPr>
      <w:r w:rsidRPr="00A42B55">
        <w:rPr>
          <w:lang w:val="bg-BG"/>
        </w:rPr>
        <w:t>Стратегическа цел</w:t>
      </w:r>
    </w:p>
    <w:p w14:paraId="151090E2" w14:textId="77777777" w:rsidR="00226A28" w:rsidRPr="00A42B55" w:rsidRDefault="00117AD2">
      <w:pPr>
        <w:jc w:val="both"/>
        <w:rPr>
          <w:lang w:val="bg-BG"/>
        </w:rPr>
      </w:pPr>
      <w:r w:rsidRPr="00A42B55">
        <w:rPr>
          <w:lang w:val="bg-BG"/>
        </w:rPr>
        <w:t>Подкрепа за независимо, компетентно и почтено упражняване на съдийската професия и за отговорното адаптиране на правосъдието към променящата се правна и технологична среда.</w:t>
      </w:r>
    </w:p>
    <w:p w14:paraId="3792DAAF" w14:textId="77777777" w:rsidR="00226A28" w:rsidRPr="00A42B55" w:rsidRDefault="00117AD2">
      <w:pPr>
        <w:pStyle w:val="Heading3"/>
        <w:rPr>
          <w:lang w:val="bg-BG"/>
        </w:rPr>
      </w:pPr>
      <w:r w:rsidRPr="00A42B55">
        <w:rPr>
          <w:lang w:val="bg-BG"/>
        </w:rPr>
        <w:t>Основни направления за действие</w:t>
      </w:r>
    </w:p>
    <w:p w14:paraId="17DC4857" w14:textId="77777777" w:rsidR="00226A28" w:rsidRPr="00A42B55" w:rsidRDefault="00117AD2">
      <w:pPr>
        <w:ind w:left="255" w:hanging="255"/>
        <w:jc w:val="both"/>
        <w:rPr>
          <w:lang w:val="bg-BG"/>
        </w:rPr>
      </w:pPr>
      <w:r w:rsidRPr="00A42B55">
        <w:rPr>
          <w:lang w:val="bg-BG"/>
        </w:rPr>
        <w:t>1.  Съдебна независимост и върховенство на правото – професионален диалог и инициативи по въпроси, засягащи независимостта на съда, статута на съдията и качеството на правораздаването.</w:t>
      </w:r>
    </w:p>
    <w:p w14:paraId="78CFE022" w14:textId="7C4F624C" w:rsidR="00226A28" w:rsidRPr="00A42B55" w:rsidRDefault="00117AD2">
      <w:pPr>
        <w:ind w:left="255" w:hanging="255"/>
        <w:jc w:val="both"/>
        <w:rPr>
          <w:lang w:val="bg-BG"/>
        </w:rPr>
      </w:pPr>
      <w:r w:rsidRPr="00A42B55">
        <w:rPr>
          <w:lang w:val="bg-BG"/>
        </w:rPr>
        <w:t xml:space="preserve">2.  Професионална етика и почтеност – </w:t>
      </w:r>
      <w:r w:rsidR="00B826EF" w:rsidRPr="00B826EF">
        <w:rPr>
          <w:lang w:val="bg-BG"/>
        </w:rPr>
        <w:t>проучвания, обучения и анализ на резултатите</w:t>
      </w:r>
      <w:r w:rsidR="00B826EF">
        <w:rPr>
          <w:lang w:val="bg-BG"/>
        </w:rPr>
        <w:t xml:space="preserve">; </w:t>
      </w:r>
      <w:r w:rsidR="00B826EF" w:rsidRPr="00B826EF">
        <w:rPr>
          <w:lang w:val="bg-BG"/>
        </w:rPr>
        <w:t>разработване на самообучителни материали, съобразена с характеристиките на националната правна система</w:t>
      </w:r>
      <w:r w:rsidR="00B826EF">
        <w:rPr>
          <w:lang w:val="bg-BG"/>
        </w:rPr>
        <w:t xml:space="preserve">; изследване на конструкцията „високи нравствено етични качества“; разработване на обективни критерии </w:t>
      </w:r>
      <w:r w:rsidR="009854EF">
        <w:rPr>
          <w:lang w:val="bg-BG"/>
        </w:rPr>
        <w:t xml:space="preserve">за разграничаване на етично от дисциплинарно нарушение; </w:t>
      </w:r>
      <w:r w:rsidR="00B826EF" w:rsidRPr="00B826EF">
        <w:rPr>
          <w:lang w:val="bg-BG"/>
        </w:rPr>
        <w:t xml:space="preserve">дискусии, дебати, съвместни срещи с професионални организации на прокурорите, адвокатите, </w:t>
      </w:r>
      <w:r w:rsidR="00B826EF">
        <w:rPr>
          <w:lang w:val="bg-BG"/>
        </w:rPr>
        <w:t xml:space="preserve">НПО; </w:t>
      </w:r>
      <w:r w:rsidRPr="00A42B55">
        <w:rPr>
          <w:lang w:val="bg-BG"/>
        </w:rPr>
        <w:t xml:space="preserve">обсъждане на практически дилеми, опит и </w:t>
      </w:r>
      <w:r w:rsidRPr="00A42B55">
        <w:rPr>
          <w:lang w:val="bg-BG"/>
        </w:rPr>
        <w:lastRenderedPageBreak/>
        <w:t>добри практики</w:t>
      </w:r>
      <w:r w:rsidR="009854EF">
        <w:rPr>
          <w:lang w:val="bg-BG"/>
        </w:rPr>
        <w:t>;</w:t>
      </w:r>
      <w:r w:rsidRPr="00A42B55">
        <w:rPr>
          <w:lang w:val="bg-BG"/>
        </w:rPr>
        <w:t xml:space="preserve"> развитие на достъпни</w:t>
      </w:r>
      <w:r w:rsidR="009854EF">
        <w:rPr>
          <w:lang w:val="bg-BG"/>
        </w:rPr>
        <w:t>те на сайта на АЖСБ</w:t>
      </w:r>
      <w:r w:rsidRPr="00A42B55">
        <w:rPr>
          <w:lang w:val="bg-BG"/>
        </w:rPr>
        <w:t xml:space="preserve"> </w:t>
      </w:r>
      <w:r w:rsidR="009854EF">
        <w:rPr>
          <w:lang w:val="bg-BG"/>
        </w:rPr>
        <w:t>бази</w:t>
      </w:r>
      <w:r w:rsidRPr="00A42B55">
        <w:rPr>
          <w:lang w:val="bg-BG"/>
        </w:rPr>
        <w:t xml:space="preserve"> ресурси</w:t>
      </w:r>
      <w:r w:rsidR="009854EF">
        <w:rPr>
          <w:lang w:val="bg-BG"/>
        </w:rPr>
        <w:t xml:space="preserve"> и електронни възможности</w:t>
      </w:r>
      <w:r w:rsidRPr="00A42B55">
        <w:rPr>
          <w:lang w:val="bg-BG"/>
        </w:rPr>
        <w:t>.</w:t>
      </w:r>
    </w:p>
    <w:p w14:paraId="59D670D6" w14:textId="0F247617" w:rsidR="00226A28" w:rsidRPr="00A42B55" w:rsidRDefault="00117AD2">
      <w:pPr>
        <w:ind w:left="255" w:hanging="255"/>
        <w:jc w:val="both"/>
        <w:rPr>
          <w:lang w:val="bg-BG"/>
        </w:rPr>
      </w:pPr>
      <w:r w:rsidRPr="00A42B55">
        <w:rPr>
          <w:lang w:val="bg-BG"/>
        </w:rPr>
        <w:t>3.  Професионална компетентност и обмен – създаване на възможности за обмен на знания, съдебна практика и професионален опит, включително в областта на европейското и международното право.</w:t>
      </w:r>
    </w:p>
    <w:p w14:paraId="12B39E95" w14:textId="77777777" w:rsidR="00226A28" w:rsidRPr="00A42B55" w:rsidRDefault="00117AD2">
      <w:pPr>
        <w:ind w:left="255" w:hanging="255"/>
        <w:jc w:val="both"/>
        <w:rPr>
          <w:lang w:val="bg-BG"/>
        </w:rPr>
      </w:pPr>
      <w:r w:rsidRPr="00A42B55">
        <w:rPr>
          <w:lang w:val="bg-BG"/>
        </w:rPr>
        <w:t>4.  Дигитализация и изкуствен интелект – повишаване на дигиталната компетентност и развитие на практически и етични ориентири за отговорно използване на новите технологии.</w:t>
      </w:r>
    </w:p>
    <w:p w14:paraId="0FD76FA2" w14:textId="77777777" w:rsidR="00226A28" w:rsidRPr="00A42B55" w:rsidRDefault="00117AD2">
      <w:pPr>
        <w:ind w:left="255" w:hanging="255"/>
        <w:jc w:val="both"/>
        <w:rPr>
          <w:lang w:val="bg-BG"/>
        </w:rPr>
      </w:pPr>
      <w:r w:rsidRPr="00A42B55">
        <w:rPr>
          <w:lang w:val="bg-BG"/>
        </w:rPr>
        <w:t>5.  Европейско и международно професионално сътрудничество – използване на професионалните мрежи за обмен на знания, опит и добри практики.</w:t>
      </w:r>
    </w:p>
    <w:p w14:paraId="56E2417D" w14:textId="77777777" w:rsidR="00226A28" w:rsidRPr="00A42B55" w:rsidRDefault="00117AD2">
      <w:pPr>
        <w:pStyle w:val="Heading3"/>
        <w:rPr>
          <w:lang w:val="bg-BG"/>
        </w:rPr>
      </w:pPr>
      <w:r w:rsidRPr="00A42B55">
        <w:rPr>
          <w:lang w:val="bg-BG"/>
        </w:rPr>
        <w:t>Очакван резултат до 2030 г.</w:t>
      </w:r>
    </w:p>
    <w:p w14:paraId="40F7359F" w14:textId="70879F59" w:rsidR="00226A28" w:rsidRPr="00A42B55" w:rsidRDefault="00117AD2">
      <w:pPr>
        <w:jc w:val="both"/>
        <w:rPr>
          <w:lang w:val="bg-BG"/>
        </w:rPr>
      </w:pPr>
      <w:r w:rsidRPr="00A42B55">
        <w:rPr>
          <w:lang w:val="bg-BG"/>
        </w:rPr>
        <w:t>АЖСБ да се утвърди като активна професионална среда за обсъждане и обмен по въпросите на съдебната независимост, етиката и почтеността, професионалното развитие и технологичната трансформация на правосъдието.</w:t>
      </w:r>
      <w:r w:rsidR="00B826EF">
        <w:rPr>
          <w:lang w:val="bg-BG"/>
        </w:rPr>
        <w:t xml:space="preserve"> Да се представят на вниманието на етичните комисии, НИП, ВСС и ИВСС подготвените ресурси за обучение. Да бъде финализиран процесът по одобряване на </w:t>
      </w:r>
      <w:r w:rsidR="00B826EF" w:rsidRPr="00B826EF">
        <w:rPr>
          <w:lang w:val="bg-BG"/>
        </w:rPr>
        <w:t>Стратегия</w:t>
      </w:r>
      <w:r w:rsidR="00B826EF">
        <w:rPr>
          <w:lang w:val="bg-BG"/>
        </w:rPr>
        <w:t>та</w:t>
      </w:r>
      <w:r w:rsidR="00B826EF" w:rsidRPr="00B826EF">
        <w:rPr>
          <w:lang w:val="bg-BG"/>
        </w:rPr>
        <w:t xml:space="preserve"> за утвърждаване на професионалния интегритет на съдиите и програма за задължително текущо обучение</w:t>
      </w:r>
      <w:r w:rsidR="00B826EF">
        <w:rPr>
          <w:lang w:val="bg-BG"/>
        </w:rPr>
        <w:t>, бюджетирането на тяхното изпълнение и да е започнало прилагането им.</w:t>
      </w:r>
    </w:p>
    <w:p w14:paraId="66D0ED1A" w14:textId="77777777" w:rsidR="00226A28" w:rsidRPr="00A42B55" w:rsidRDefault="00117AD2">
      <w:pPr>
        <w:pStyle w:val="Heading2"/>
        <w:rPr>
          <w:lang w:val="bg-BG"/>
        </w:rPr>
      </w:pPr>
      <w:r>
        <w:t>II</w:t>
      </w:r>
      <w:r w:rsidRPr="00A42B55">
        <w:rPr>
          <w:lang w:val="bg-BG"/>
        </w:rPr>
        <w:t>. Устойчива и подкрепяща съдийска общност</w:t>
      </w:r>
    </w:p>
    <w:p w14:paraId="7824DE33" w14:textId="77777777" w:rsidR="00226A28" w:rsidRPr="00A42B55" w:rsidRDefault="00117AD2">
      <w:pPr>
        <w:pStyle w:val="Heading3"/>
        <w:rPr>
          <w:lang w:val="bg-BG"/>
        </w:rPr>
      </w:pPr>
      <w:r w:rsidRPr="00A42B55">
        <w:rPr>
          <w:lang w:val="bg-BG"/>
        </w:rPr>
        <w:t>Обосновка</w:t>
      </w:r>
    </w:p>
    <w:p w14:paraId="396D4FFA" w14:textId="77777777" w:rsidR="00226A28" w:rsidRPr="00A42B55" w:rsidRDefault="00117AD2">
      <w:pPr>
        <w:jc w:val="both"/>
        <w:rPr>
          <w:lang w:val="bg-BG"/>
        </w:rPr>
      </w:pPr>
      <w:r w:rsidRPr="00A42B55">
        <w:rPr>
          <w:lang w:val="bg-BG"/>
        </w:rPr>
        <w:t>Съдийската професия е свързана с висока степен на лична отговорност, интензивно интелектуално и емоционално натоварване и необходимост от ежедневно вземане на решения със значими последици за други хора. Продължителното въздействие на тези фактори може да се отрази както върху професионалното благополучие на съдията, така и върху устойчивото упражняване на професията.</w:t>
      </w:r>
    </w:p>
    <w:p w14:paraId="31A1F0A1" w14:textId="77777777" w:rsidR="00226A28" w:rsidRPr="00A42B55" w:rsidRDefault="00117AD2">
      <w:pPr>
        <w:jc w:val="both"/>
        <w:rPr>
          <w:lang w:val="bg-BG"/>
        </w:rPr>
      </w:pPr>
      <w:r w:rsidRPr="00A42B55">
        <w:rPr>
          <w:lang w:val="bg-BG"/>
        </w:rPr>
        <w:t>Грижата за съдийското благополучие не противоречи на изискванията за професионална устойчивост. Напротив, способността за разпознаване и управление на професионалния стрес, наличието на колегиална подкрепа и достъпът до надеждна информация и подходящи ресурси са част от условията за дългосрочно качествено изпълнение на съдийската функция.</w:t>
      </w:r>
    </w:p>
    <w:p w14:paraId="2C991CEB" w14:textId="77777777" w:rsidR="00226A28" w:rsidRPr="00A42B55" w:rsidRDefault="00117AD2">
      <w:pPr>
        <w:jc w:val="both"/>
        <w:rPr>
          <w:lang w:val="bg-BG"/>
        </w:rPr>
      </w:pPr>
      <w:r w:rsidRPr="00A42B55">
        <w:rPr>
          <w:lang w:val="bg-BG"/>
        </w:rPr>
        <w:t>Към тази среда принадлежат и приемствеността между поколенията, възможностите за менторство и обмен на опит, както и търсенето на организационни и технологични решения, които облекчават рутинната работа, без да засягат същността и отговорността на правораздавателната дейност.</w:t>
      </w:r>
    </w:p>
    <w:p w14:paraId="08F72157" w14:textId="77777777" w:rsidR="00226A28" w:rsidRPr="00A42B55" w:rsidRDefault="00117AD2">
      <w:pPr>
        <w:pStyle w:val="Heading3"/>
        <w:rPr>
          <w:lang w:val="bg-BG"/>
        </w:rPr>
      </w:pPr>
      <w:r w:rsidRPr="00A42B55">
        <w:rPr>
          <w:lang w:val="bg-BG"/>
        </w:rPr>
        <w:t>Стратегическа цел</w:t>
      </w:r>
    </w:p>
    <w:p w14:paraId="0BC6C267" w14:textId="77777777" w:rsidR="00226A28" w:rsidRPr="00A42B55" w:rsidRDefault="00117AD2">
      <w:pPr>
        <w:jc w:val="both"/>
        <w:rPr>
          <w:lang w:val="bg-BG"/>
        </w:rPr>
      </w:pPr>
      <w:r w:rsidRPr="00A42B55">
        <w:rPr>
          <w:lang w:val="bg-BG"/>
        </w:rPr>
        <w:t>Насърчаване на професионална култура, в която благополучието, устойчивостта, приемствеността и колегиалната подкрепа се разпознават като важни условия за качествено и независимо правораздаване.</w:t>
      </w:r>
    </w:p>
    <w:p w14:paraId="631C9AF2" w14:textId="77777777" w:rsidR="00226A28" w:rsidRPr="00A42B55" w:rsidRDefault="00117AD2">
      <w:pPr>
        <w:pStyle w:val="Heading3"/>
        <w:rPr>
          <w:lang w:val="bg-BG"/>
        </w:rPr>
      </w:pPr>
      <w:r w:rsidRPr="00A42B55">
        <w:rPr>
          <w:lang w:val="bg-BG"/>
        </w:rPr>
        <w:t>Основни направления за действие</w:t>
      </w:r>
    </w:p>
    <w:p w14:paraId="5B711239" w14:textId="77777777" w:rsidR="00226A28" w:rsidRPr="00A42B55" w:rsidRDefault="00117AD2">
      <w:pPr>
        <w:ind w:left="255" w:hanging="255"/>
        <w:jc w:val="both"/>
        <w:rPr>
          <w:lang w:val="bg-BG"/>
        </w:rPr>
      </w:pPr>
      <w:r w:rsidRPr="00A42B55">
        <w:rPr>
          <w:lang w:val="bg-BG"/>
        </w:rPr>
        <w:t>1.  Съдийско благополучие и превенция на професионалното прегаряне – инициативи за информираност, превенция и практическа подкрепа.</w:t>
      </w:r>
    </w:p>
    <w:p w14:paraId="1BD50C85" w14:textId="77777777" w:rsidR="00226A28" w:rsidRPr="00A42B55" w:rsidRDefault="00117AD2">
      <w:pPr>
        <w:ind w:left="255" w:hanging="255"/>
        <w:jc w:val="both"/>
        <w:rPr>
          <w:lang w:val="bg-BG"/>
        </w:rPr>
      </w:pPr>
      <w:r w:rsidRPr="00A42B55">
        <w:rPr>
          <w:lang w:val="bg-BG"/>
        </w:rPr>
        <w:lastRenderedPageBreak/>
        <w:t>2.  Изследване на факторите и професионалните рискове, които влияят върху психическото и физическото благополучие на съдиите.</w:t>
      </w:r>
    </w:p>
    <w:p w14:paraId="574E0ECD" w14:textId="77777777" w:rsidR="00226A28" w:rsidRPr="00A42B55" w:rsidRDefault="00117AD2">
      <w:pPr>
        <w:ind w:left="255" w:hanging="255"/>
        <w:jc w:val="both"/>
        <w:rPr>
          <w:lang w:val="bg-BG"/>
        </w:rPr>
      </w:pPr>
      <w:r w:rsidRPr="00A42B55">
        <w:rPr>
          <w:lang w:val="bg-BG"/>
        </w:rPr>
        <w:t>3.  Колегиална подкрепа, менторство и обмен между поколенията – развитие на доброволни форми за споделяне на професионален опит и подкрепа в различни етапи на професионалния път.</w:t>
      </w:r>
    </w:p>
    <w:p w14:paraId="689AA90F" w14:textId="77777777" w:rsidR="00226A28" w:rsidRPr="00A42B55" w:rsidRDefault="00117AD2">
      <w:pPr>
        <w:ind w:left="255" w:hanging="255"/>
        <w:jc w:val="both"/>
        <w:rPr>
          <w:lang w:val="bg-BG"/>
        </w:rPr>
      </w:pPr>
      <w:r w:rsidRPr="00A42B55">
        <w:rPr>
          <w:lang w:val="bg-BG"/>
        </w:rPr>
        <w:t>4.  Достъп до експертни знания и практически ресурси, свързани с професионалната устойчивост и качеството на живот.</w:t>
      </w:r>
    </w:p>
    <w:p w14:paraId="10549572" w14:textId="77777777" w:rsidR="00226A28" w:rsidRPr="00A42B55" w:rsidRDefault="00117AD2">
      <w:pPr>
        <w:ind w:left="255" w:hanging="255"/>
        <w:jc w:val="both"/>
        <w:rPr>
          <w:lang w:val="bg-BG"/>
        </w:rPr>
      </w:pPr>
      <w:r w:rsidRPr="00A42B55">
        <w:rPr>
          <w:lang w:val="bg-BG"/>
        </w:rPr>
        <w:t>5.  Организация на съдийския труд – обмен на добри практики и използване на подходящи технологични решения за по-добра организация на работата.</w:t>
      </w:r>
    </w:p>
    <w:p w14:paraId="17F5E699" w14:textId="77777777" w:rsidR="00226A28" w:rsidRPr="00A42B55" w:rsidRDefault="00117AD2">
      <w:pPr>
        <w:pStyle w:val="Heading3"/>
        <w:rPr>
          <w:lang w:val="bg-BG"/>
        </w:rPr>
      </w:pPr>
      <w:r w:rsidRPr="00A42B55">
        <w:rPr>
          <w:lang w:val="bg-BG"/>
        </w:rPr>
        <w:t>Очакван резултат до 2030 г.</w:t>
      </w:r>
    </w:p>
    <w:p w14:paraId="4F9C2731" w14:textId="77777777" w:rsidR="00226A28" w:rsidRPr="00A42B55" w:rsidRDefault="00117AD2">
      <w:pPr>
        <w:jc w:val="both"/>
        <w:rPr>
          <w:lang w:val="bg-BG"/>
        </w:rPr>
      </w:pPr>
      <w:r w:rsidRPr="00A42B55">
        <w:rPr>
          <w:lang w:val="bg-BG"/>
        </w:rPr>
        <w:t>Темата за съдийското благополучие да бъде трайно включена в професионалния разговор, а АЖСБ да развие устойчиви форми за информираност, превенция, менторство, колегиална подкрепа и обмен.</w:t>
      </w:r>
    </w:p>
    <w:p w14:paraId="349851B4" w14:textId="77777777" w:rsidR="00226A28" w:rsidRPr="00A42B55" w:rsidRDefault="00117AD2">
      <w:pPr>
        <w:pStyle w:val="Heading2"/>
        <w:rPr>
          <w:lang w:val="bg-BG"/>
        </w:rPr>
      </w:pPr>
      <w:r>
        <w:t>III</w:t>
      </w:r>
      <w:r w:rsidRPr="00A42B55">
        <w:rPr>
          <w:lang w:val="bg-BG"/>
        </w:rPr>
        <w:t>. Съд и общество – доверие, диалог и правна култура</w:t>
      </w:r>
    </w:p>
    <w:p w14:paraId="52832421" w14:textId="77777777" w:rsidR="00226A28" w:rsidRPr="00A42B55" w:rsidRDefault="00117AD2">
      <w:pPr>
        <w:pStyle w:val="Heading3"/>
        <w:rPr>
          <w:lang w:val="bg-BG"/>
        </w:rPr>
      </w:pPr>
      <w:r w:rsidRPr="00A42B55">
        <w:rPr>
          <w:lang w:val="bg-BG"/>
        </w:rPr>
        <w:t>Обосновка</w:t>
      </w:r>
    </w:p>
    <w:p w14:paraId="0C0DF99B" w14:textId="77A1A746" w:rsidR="00226A28" w:rsidRPr="00A42B55" w:rsidRDefault="00117AD2">
      <w:pPr>
        <w:jc w:val="both"/>
        <w:rPr>
          <w:lang w:val="bg-BG"/>
        </w:rPr>
      </w:pPr>
      <w:r w:rsidRPr="00A42B55">
        <w:rPr>
          <w:lang w:val="bg-BG"/>
        </w:rPr>
        <w:t>Доверието в правосъдието е свързано не само с качеството на съдебните актове, но и с разбирането на ролята на съда, принципите, върху които се основава правораздаването, и мястото на съдията в демократичното общество. Недостатъчното познаване на начина, по който функционира съдебната система, създава пространство за погрешни представи, опростени оценки и очаквания към съда, които не съответстват на неговата конституционна роля.</w:t>
      </w:r>
      <w:r w:rsidR="00BD0068" w:rsidRPr="00BD0068">
        <w:rPr>
          <w:lang w:val="bg-BG"/>
        </w:rPr>
        <w:t xml:space="preserve"> </w:t>
      </w:r>
      <w:r w:rsidR="00BD0068">
        <w:rPr>
          <w:lang w:val="bg-BG"/>
        </w:rPr>
        <w:t xml:space="preserve">Като форми на активен диалог за </w:t>
      </w:r>
      <w:r w:rsidR="00BD0068" w:rsidRPr="00BD0068">
        <w:rPr>
          <w:lang w:val="bg-BG"/>
        </w:rPr>
        <w:t>възстановяване на доверието в работата на съда</w:t>
      </w:r>
      <w:r w:rsidR="00BD0068">
        <w:rPr>
          <w:lang w:val="bg-BG"/>
        </w:rPr>
        <w:t xml:space="preserve"> ще </w:t>
      </w:r>
      <w:r w:rsidR="00BD0068" w:rsidRPr="00BD0068">
        <w:rPr>
          <w:lang w:val="bg-BG"/>
        </w:rPr>
        <w:t xml:space="preserve">разработим анкети, тестове, дигитална платформа за дебати и симулирани процеси. </w:t>
      </w:r>
    </w:p>
    <w:p w14:paraId="0F2D6D34" w14:textId="77777777" w:rsidR="00226A28" w:rsidRPr="00A42B55" w:rsidRDefault="00117AD2">
      <w:pPr>
        <w:jc w:val="both"/>
        <w:rPr>
          <w:lang w:val="bg-BG"/>
        </w:rPr>
      </w:pPr>
      <w:r w:rsidRPr="00A42B55">
        <w:rPr>
          <w:lang w:val="bg-BG"/>
        </w:rPr>
        <w:t>Съдиите притежават практически знания и професионален опит, които могат да бъдат полезни извън съдебната зала. Споделянето им по подходящ начин не означава участие в политически или обществени спорове, нито коментиране на конкретни производства. То може да допринася за правната култура, за разбирането на принципите на правосъдието и за формирането на отношение към правото като средство за защита на човешкото достойнство, свободата и отговорността.</w:t>
      </w:r>
    </w:p>
    <w:p w14:paraId="5CC318B7" w14:textId="77777777" w:rsidR="00226A28" w:rsidRPr="00A42B55" w:rsidRDefault="00117AD2">
      <w:pPr>
        <w:jc w:val="both"/>
        <w:rPr>
          <w:lang w:val="bg-BG"/>
        </w:rPr>
      </w:pPr>
      <w:r w:rsidRPr="00A42B55">
        <w:rPr>
          <w:lang w:val="bg-BG"/>
        </w:rPr>
        <w:t>Особено значение има работата с деца и млади хора. Срещата им с правото не следва да започва едва когато попаднат в съдебна процедура. Познаването на правата, отговорностите и последиците от собствените решения е част от гражданската култура и може да има превантивна стойност по отношение на рисково поведение, насилие, зависимости и други обществено значими проблеми.</w:t>
      </w:r>
    </w:p>
    <w:p w14:paraId="4398007E" w14:textId="77777777" w:rsidR="00226A28" w:rsidRDefault="00117AD2">
      <w:pPr>
        <w:jc w:val="both"/>
        <w:rPr>
          <w:lang w:val="bg-BG"/>
        </w:rPr>
      </w:pPr>
      <w:r w:rsidRPr="00A42B55">
        <w:rPr>
          <w:lang w:val="bg-BG"/>
        </w:rPr>
        <w:t>Ангажираността на АЖСБ в тази област следва да се основава на професионалната компетентност на нейните членове и да се развива в партньорство с училища, университети, професионални и граждански организации и други институции, когато това допринася за постигането на уставните цели на Асоциацията.</w:t>
      </w:r>
    </w:p>
    <w:p w14:paraId="4854F1B1" w14:textId="77777777" w:rsidR="00BD0068" w:rsidRPr="00A42B55" w:rsidRDefault="00BD0068">
      <w:pPr>
        <w:jc w:val="both"/>
        <w:rPr>
          <w:lang w:val="bg-BG"/>
        </w:rPr>
      </w:pPr>
    </w:p>
    <w:p w14:paraId="3957BDB6" w14:textId="77777777" w:rsidR="00226A28" w:rsidRPr="00A42B55" w:rsidRDefault="00117AD2">
      <w:pPr>
        <w:pStyle w:val="Heading3"/>
        <w:rPr>
          <w:lang w:val="bg-BG"/>
        </w:rPr>
      </w:pPr>
      <w:r w:rsidRPr="00A42B55">
        <w:rPr>
          <w:lang w:val="bg-BG"/>
        </w:rPr>
        <w:lastRenderedPageBreak/>
        <w:t>Стратегическа цел</w:t>
      </w:r>
    </w:p>
    <w:p w14:paraId="7615C415" w14:textId="77777777" w:rsidR="00226A28" w:rsidRPr="00A42B55" w:rsidRDefault="00117AD2">
      <w:pPr>
        <w:jc w:val="both"/>
        <w:rPr>
          <w:lang w:val="bg-BG"/>
        </w:rPr>
      </w:pPr>
      <w:r w:rsidRPr="00A42B55">
        <w:rPr>
          <w:lang w:val="bg-BG"/>
        </w:rPr>
        <w:t>Утвърждаване на активна и отговорна връзка между съда и обществото чрез инициативи, които повишават правната култура, подобряват разбирането за ролята на правосъдието и използват професионалния опит на съдиите за превенция и обществено полезна дейност.</w:t>
      </w:r>
    </w:p>
    <w:p w14:paraId="3C105915" w14:textId="77777777" w:rsidR="00226A28" w:rsidRPr="00A42B55" w:rsidRDefault="00117AD2">
      <w:pPr>
        <w:pStyle w:val="Heading3"/>
        <w:rPr>
          <w:lang w:val="bg-BG"/>
        </w:rPr>
      </w:pPr>
      <w:r w:rsidRPr="00A42B55">
        <w:rPr>
          <w:lang w:val="bg-BG"/>
        </w:rPr>
        <w:t>Основни направления за действие</w:t>
      </w:r>
    </w:p>
    <w:p w14:paraId="5A36536B" w14:textId="7FAB23DC" w:rsidR="00226A28" w:rsidRPr="00A42B55" w:rsidRDefault="00117AD2">
      <w:pPr>
        <w:ind w:left="255" w:hanging="255"/>
        <w:jc w:val="both"/>
        <w:rPr>
          <w:lang w:val="bg-BG"/>
        </w:rPr>
      </w:pPr>
      <w:r w:rsidRPr="00A42B55">
        <w:rPr>
          <w:lang w:val="bg-BG"/>
        </w:rPr>
        <w:t>1.  Правна култура и образование – разработване и подкрепа на инициативи, които представят по достъпен начин основните принципи на правото, функционирането на съдебната система, ролята на съдията и значението на съдебната независимост.</w:t>
      </w:r>
      <w:r w:rsidR="000900C4">
        <w:rPr>
          <w:lang w:val="bg-BG"/>
        </w:rPr>
        <w:t xml:space="preserve"> </w:t>
      </w:r>
    </w:p>
    <w:p w14:paraId="712B1313" w14:textId="77777777" w:rsidR="00226A28" w:rsidRPr="00A42B55" w:rsidRDefault="00117AD2">
      <w:pPr>
        <w:ind w:left="255" w:hanging="255"/>
        <w:jc w:val="both"/>
        <w:rPr>
          <w:lang w:val="bg-BG"/>
        </w:rPr>
      </w:pPr>
      <w:r w:rsidRPr="00A42B55">
        <w:rPr>
          <w:lang w:val="bg-BG"/>
        </w:rPr>
        <w:t>2.  Работа с деца и млади хора – развитие на устойчиви формати за непосредствен контакт между съдии и млади хора по теми, свързани с правата, отговорността, закона и последиците от индивидуалния избор.</w:t>
      </w:r>
    </w:p>
    <w:p w14:paraId="1C87ACA0" w14:textId="77777777" w:rsidR="00226A28" w:rsidRPr="00A42B55" w:rsidRDefault="00117AD2">
      <w:pPr>
        <w:ind w:left="255" w:hanging="255"/>
        <w:jc w:val="both"/>
        <w:rPr>
          <w:lang w:val="bg-BG"/>
        </w:rPr>
      </w:pPr>
      <w:r w:rsidRPr="00A42B55">
        <w:rPr>
          <w:lang w:val="bg-BG"/>
        </w:rPr>
        <w:t>3.  Превенция чрез правна информираност – използване на практическия опит на съдиите при разработването на превантивни инициативи по обществено значими проблеми, включително зависимости, насилие, рисково поведение и престъпност сред младите хора.</w:t>
      </w:r>
    </w:p>
    <w:p w14:paraId="1BF63F2F" w14:textId="4018AEB1" w:rsidR="00226A28" w:rsidRPr="00A42B55" w:rsidRDefault="00117AD2">
      <w:pPr>
        <w:ind w:left="255" w:hanging="255"/>
        <w:jc w:val="both"/>
        <w:rPr>
          <w:lang w:val="bg-BG"/>
        </w:rPr>
      </w:pPr>
      <w:r w:rsidRPr="00A42B55">
        <w:rPr>
          <w:lang w:val="bg-BG"/>
        </w:rPr>
        <w:t>4.  Разбираема комуникация за правосъдието – насърчаване на професионална и разбираема комуникация за функциите на съда, съдебната независимост</w:t>
      </w:r>
      <w:r w:rsidR="00BD0068">
        <w:rPr>
          <w:lang w:val="bg-BG"/>
        </w:rPr>
        <w:t>,</w:t>
      </w:r>
      <w:r w:rsidRPr="00A42B55">
        <w:rPr>
          <w:lang w:val="bg-BG"/>
        </w:rPr>
        <w:t xml:space="preserve"> принципите на правораздаването </w:t>
      </w:r>
      <w:r w:rsidR="00BD0068">
        <w:rPr>
          <w:lang w:val="bg-BG"/>
        </w:rPr>
        <w:t xml:space="preserve">и професионалните етични стандарти </w:t>
      </w:r>
      <w:r w:rsidRPr="00A42B55">
        <w:rPr>
          <w:lang w:val="bg-BG"/>
        </w:rPr>
        <w:t>при ясно разграничаване между общественото образование и коментирането на конкретни висящи производства.</w:t>
      </w:r>
    </w:p>
    <w:p w14:paraId="50E2A55F" w14:textId="112A858F" w:rsidR="00226A28" w:rsidRPr="00A42B55" w:rsidRDefault="00117AD2">
      <w:pPr>
        <w:ind w:left="255" w:hanging="255"/>
        <w:jc w:val="both"/>
        <w:rPr>
          <w:lang w:val="bg-BG"/>
        </w:rPr>
      </w:pPr>
      <w:r w:rsidRPr="00A42B55">
        <w:rPr>
          <w:lang w:val="bg-BG"/>
        </w:rPr>
        <w:t>5.  Партньорства – изграждане на сътрудничество с образователни институции, професионални организации, граждански структури и други подходящи партньори за устойчиви инициативи в областта на правната култура и превенцията.</w:t>
      </w:r>
      <w:r w:rsidR="000900C4">
        <w:rPr>
          <w:lang w:val="bg-BG"/>
        </w:rPr>
        <w:t xml:space="preserve"> Участие в разработване на учебната дисциплина „Юридическа етика“ и включването й в програмата на висшите учебни заведения по обучението за придобиване на квалификация юрист</w:t>
      </w:r>
    </w:p>
    <w:p w14:paraId="21EF094D" w14:textId="77777777" w:rsidR="00226A28" w:rsidRPr="00A42B55" w:rsidRDefault="00117AD2">
      <w:pPr>
        <w:pStyle w:val="Heading3"/>
        <w:rPr>
          <w:lang w:val="bg-BG"/>
        </w:rPr>
      </w:pPr>
      <w:r w:rsidRPr="00A42B55">
        <w:rPr>
          <w:lang w:val="bg-BG"/>
        </w:rPr>
        <w:t>Очакван резултат до 2030 г.</w:t>
      </w:r>
    </w:p>
    <w:p w14:paraId="6A449601" w14:textId="77777777" w:rsidR="00226A28" w:rsidRPr="00A42B55" w:rsidRDefault="00117AD2">
      <w:pPr>
        <w:jc w:val="both"/>
        <w:rPr>
          <w:lang w:val="bg-BG"/>
        </w:rPr>
      </w:pPr>
      <w:r w:rsidRPr="00A42B55">
        <w:rPr>
          <w:lang w:val="bg-BG"/>
        </w:rPr>
        <w:t>АЖСБ да утвърди устойчиви формати за работа с обществото и младите хора, основани на професионалния опит на съдиите, и да развие партньорска мрежа за инициативи в областта на правното образование, превенцията и обществената информираност.</w:t>
      </w:r>
    </w:p>
    <w:p w14:paraId="643B85B1" w14:textId="77777777" w:rsidR="00226A28" w:rsidRPr="00A42B55" w:rsidRDefault="00117AD2">
      <w:pPr>
        <w:jc w:val="both"/>
        <w:rPr>
          <w:lang w:val="bg-BG"/>
        </w:rPr>
      </w:pPr>
      <w:r w:rsidRPr="00A42B55">
        <w:rPr>
          <w:lang w:val="bg-BG"/>
        </w:rPr>
        <w:t>Чрез тези дейности Асоциацията да допринася за по-доброто разбиране на ролята на съда и принципите на правосъдието и за изграждането на правна култура, основана на познаване на правата, лична отговорност и уважение към закона.</w:t>
      </w:r>
    </w:p>
    <w:p w14:paraId="5A84D5A1" w14:textId="77777777" w:rsidR="00226A28" w:rsidRPr="00A42B55" w:rsidRDefault="00117AD2">
      <w:pPr>
        <w:pStyle w:val="Heading2"/>
        <w:rPr>
          <w:lang w:val="bg-BG"/>
        </w:rPr>
      </w:pPr>
      <w:r>
        <w:t>IV</w:t>
      </w:r>
      <w:r w:rsidRPr="00A42B55">
        <w:rPr>
          <w:lang w:val="bg-BG"/>
        </w:rPr>
        <w:t>. Равнопоставеност и професионално развитие на жените съдии</w:t>
      </w:r>
    </w:p>
    <w:p w14:paraId="350464C5" w14:textId="77777777" w:rsidR="00226A28" w:rsidRPr="00A42B55" w:rsidRDefault="00117AD2">
      <w:pPr>
        <w:pStyle w:val="Heading3"/>
        <w:rPr>
          <w:lang w:val="bg-BG"/>
        </w:rPr>
      </w:pPr>
      <w:r w:rsidRPr="00A42B55">
        <w:rPr>
          <w:lang w:val="bg-BG"/>
        </w:rPr>
        <w:t>Обосновка</w:t>
      </w:r>
    </w:p>
    <w:p w14:paraId="049AA6E5" w14:textId="77777777" w:rsidR="00226A28" w:rsidRPr="00A42B55" w:rsidRDefault="00117AD2">
      <w:pPr>
        <w:jc w:val="both"/>
        <w:rPr>
          <w:lang w:val="bg-BG"/>
        </w:rPr>
      </w:pPr>
      <w:r w:rsidRPr="00A42B55">
        <w:rPr>
          <w:lang w:val="bg-BG"/>
        </w:rPr>
        <w:t>Равнопоставеността не се изчерпва с численото присъствие на жените в съдебната система. Тя предполага реални и равни възможности за професионално развитие, участие в професионалния живот, достъп до обучение, международен обмен и лидерски роли.</w:t>
      </w:r>
    </w:p>
    <w:p w14:paraId="3C01640D" w14:textId="77777777" w:rsidR="00226A28" w:rsidRPr="00A42B55" w:rsidRDefault="00117AD2">
      <w:pPr>
        <w:jc w:val="both"/>
        <w:rPr>
          <w:lang w:val="bg-BG"/>
        </w:rPr>
      </w:pPr>
      <w:r w:rsidRPr="00A42B55">
        <w:rPr>
          <w:lang w:val="bg-BG"/>
        </w:rPr>
        <w:t>Като професионална организация на жени съдии АЖСБ има естествена роля да създава пространство за обсъждане на факторите, които влияят върху професионалното развитие на жените, да насърчава обмена на опит и взаимната подкрепа и да подпомага активното им участие в националната и международната професионална общност.</w:t>
      </w:r>
    </w:p>
    <w:p w14:paraId="1C681DCB" w14:textId="77777777" w:rsidR="00226A28" w:rsidRPr="00A42B55" w:rsidRDefault="00117AD2">
      <w:pPr>
        <w:jc w:val="both"/>
        <w:rPr>
          <w:lang w:val="bg-BG"/>
        </w:rPr>
      </w:pPr>
      <w:r w:rsidRPr="00A42B55">
        <w:rPr>
          <w:lang w:val="bg-BG"/>
        </w:rPr>
        <w:lastRenderedPageBreak/>
        <w:t>Подкрепата може да има различно съдържание в отделните етапи на професионалния път – при навлизане в професията, при поемане на нови отговорности, в периоди на професионална или лична криза, както и при прехода след прекратяване на активната съдийска дейност.</w:t>
      </w:r>
    </w:p>
    <w:p w14:paraId="614BAAC5" w14:textId="77777777" w:rsidR="00226A28" w:rsidRPr="00A42B55" w:rsidRDefault="00117AD2">
      <w:pPr>
        <w:jc w:val="both"/>
        <w:rPr>
          <w:lang w:val="bg-BG"/>
        </w:rPr>
      </w:pPr>
      <w:r w:rsidRPr="00A42B55">
        <w:rPr>
          <w:lang w:val="bg-BG"/>
        </w:rPr>
        <w:t>Работата в тази област следва да се основава на установени потребности и обективни данни, а не на предварителни предположения за наличието или характера на неравенства.</w:t>
      </w:r>
    </w:p>
    <w:p w14:paraId="2EE31FFC" w14:textId="77777777" w:rsidR="00226A28" w:rsidRPr="00A42B55" w:rsidRDefault="00117AD2">
      <w:pPr>
        <w:pStyle w:val="Heading3"/>
        <w:rPr>
          <w:lang w:val="bg-BG"/>
        </w:rPr>
      </w:pPr>
      <w:r w:rsidRPr="00A42B55">
        <w:rPr>
          <w:lang w:val="bg-BG"/>
        </w:rPr>
        <w:t>Стратегическа цел</w:t>
      </w:r>
    </w:p>
    <w:p w14:paraId="5A4EC6E9" w14:textId="77777777" w:rsidR="00226A28" w:rsidRPr="00A42B55" w:rsidRDefault="00117AD2">
      <w:pPr>
        <w:jc w:val="both"/>
        <w:rPr>
          <w:lang w:val="bg-BG"/>
        </w:rPr>
      </w:pPr>
      <w:r w:rsidRPr="00A42B55">
        <w:rPr>
          <w:lang w:val="bg-BG"/>
        </w:rPr>
        <w:t>Насърчаване на равните възможности, професионалното развитие и пълноценното участие на жените съдии в професионалната общност и съдебната система.</w:t>
      </w:r>
    </w:p>
    <w:p w14:paraId="1B31B39C" w14:textId="77777777" w:rsidR="00226A28" w:rsidRPr="00A42B55" w:rsidRDefault="00117AD2">
      <w:pPr>
        <w:pStyle w:val="Heading3"/>
        <w:rPr>
          <w:lang w:val="bg-BG"/>
        </w:rPr>
      </w:pPr>
      <w:r w:rsidRPr="00A42B55">
        <w:rPr>
          <w:lang w:val="bg-BG"/>
        </w:rPr>
        <w:t>Основни направления за действие</w:t>
      </w:r>
    </w:p>
    <w:p w14:paraId="5CC42EC7" w14:textId="77777777" w:rsidR="00226A28" w:rsidRPr="00A42B55" w:rsidRDefault="00117AD2">
      <w:pPr>
        <w:ind w:left="255" w:hanging="255"/>
        <w:jc w:val="both"/>
        <w:rPr>
          <w:lang w:val="bg-BG"/>
        </w:rPr>
      </w:pPr>
      <w:r w:rsidRPr="00A42B55">
        <w:rPr>
          <w:lang w:val="bg-BG"/>
        </w:rPr>
        <w:t>1.  Проучване и анализ на факторите, които подпомагат или затрудняват професионалното развитие и участие на жените съдии.</w:t>
      </w:r>
    </w:p>
    <w:p w14:paraId="6D437097" w14:textId="77777777" w:rsidR="00226A28" w:rsidRPr="00A42B55" w:rsidRDefault="00117AD2">
      <w:pPr>
        <w:ind w:left="255" w:hanging="255"/>
        <w:jc w:val="both"/>
        <w:rPr>
          <w:lang w:val="bg-BG"/>
        </w:rPr>
      </w:pPr>
      <w:r w:rsidRPr="00A42B55">
        <w:rPr>
          <w:lang w:val="bg-BG"/>
        </w:rPr>
        <w:t>2.  Подкрепа в различните етапи на професионалния път чрез подходящи форми за професионален обмен, развитие и взаимопомощ.</w:t>
      </w:r>
    </w:p>
    <w:p w14:paraId="4F434B10" w14:textId="77777777" w:rsidR="00226A28" w:rsidRPr="00A42B55" w:rsidRDefault="00117AD2">
      <w:pPr>
        <w:ind w:left="255" w:hanging="255"/>
        <w:jc w:val="both"/>
        <w:rPr>
          <w:lang w:val="bg-BG"/>
        </w:rPr>
      </w:pPr>
      <w:r w:rsidRPr="00A42B55">
        <w:rPr>
          <w:lang w:val="bg-BG"/>
        </w:rPr>
        <w:t>3.  Менторство и обмен между поколенията.</w:t>
      </w:r>
    </w:p>
    <w:p w14:paraId="63A3888A" w14:textId="77777777" w:rsidR="00226A28" w:rsidRPr="00A42B55" w:rsidRDefault="00117AD2">
      <w:pPr>
        <w:ind w:left="255" w:hanging="255"/>
        <w:jc w:val="both"/>
        <w:rPr>
          <w:lang w:val="bg-BG"/>
        </w:rPr>
      </w:pPr>
      <w:r w:rsidRPr="00A42B55">
        <w:rPr>
          <w:lang w:val="bg-BG"/>
        </w:rPr>
        <w:t>4.  Насърчаване на професионалната видимост, лидерството и активното участие, включително чрез представяне и споделяне на професионален опит и постижения.</w:t>
      </w:r>
    </w:p>
    <w:p w14:paraId="13BA0D46" w14:textId="77777777" w:rsidR="00226A28" w:rsidRPr="00A42B55" w:rsidRDefault="00117AD2">
      <w:pPr>
        <w:ind w:left="255" w:hanging="255"/>
        <w:jc w:val="both"/>
        <w:rPr>
          <w:lang w:val="bg-BG"/>
        </w:rPr>
      </w:pPr>
      <w:r w:rsidRPr="00A42B55">
        <w:rPr>
          <w:lang w:val="bg-BG"/>
        </w:rPr>
        <w:t>5.  Развитие на национални и международни професионални мрежи и обмен на добри практики.</w:t>
      </w:r>
    </w:p>
    <w:p w14:paraId="639BE290" w14:textId="77777777" w:rsidR="00226A28" w:rsidRPr="00A42B55" w:rsidRDefault="00117AD2">
      <w:pPr>
        <w:pStyle w:val="Heading3"/>
        <w:rPr>
          <w:lang w:val="bg-BG"/>
        </w:rPr>
      </w:pPr>
      <w:r w:rsidRPr="00A42B55">
        <w:rPr>
          <w:lang w:val="bg-BG"/>
        </w:rPr>
        <w:t>Очакван резултат до 2030 г.</w:t>
      </w:r>
    </w:p>
    <w:p w14:paraId="6E4F87A0" w14:textId="77777777" w:rsidR="00226A28" w:rsidRPr="00A42B55" w:rsidRDefault="00117AD2">
      <w:pPr>
        <w:jc w:val="both"/>
        <w:rPr>
          <w:lang w:val="bg-BG"/>
        </w:rPr>
      </w:pPr>
      <w:r w:rsidRPr="00A42B55">
        <w:rPr>
          <w:lang w:val="bg-BG"/>
        </w:rPr>
        <w:t>АЖСБ да изгради устойчива среда за професионална подкрепа и развитие на жените съдии и да разполага с по-добра фактическа основа за идентифициране и поставяне на въпросите, свързани с равните възможности в професията.</w:t>
      </w:r>
    </w:p>
    <w:p w14:paraId="7C12F2BE" w14:textId="77777777" w:rsidR="00226A28" w:rsidRPr="00A42B55" w:rsidRDefault="00117AD2">
      <w:pPr>
        <w:pStyle w:val="Heading1"/>
        <w:rPr>
          <w:lang w:val="bg-BG"/>
        </w:rPr>
      </w:pPr>
      <w:r w:rsidRPr="00A42B55">
        <w:rPr>
          <w:lang w:val="bg-BG"/>
        </w:rPr>
        <w:t>7. Хоризонтално направление: организационен капацитет</w:t>
      </w:r>
    </w:p>
    <w:p w14:paraId="7DF75955" w14:textId="77777777" w:rsidR="00226A28" w:rsidRPr="00A42B55" w:rsidRDefault="00117AD2">
      <w:pPr>
        <w:pStyle w:val="Heading3"/>
        <w:rPr>
          <w:lang w:val="bg-BG"/>
        </w:rPr>
      </w:pPr>
      <w:r w:rsidRPr="00A42B55">
        <w:rPr>
          <w:lang w:val="bg-BG"/>
        </w:rPr>
        <w:t>Обосновка</w:t>
      </w:r>
    </w:p>
    <w:p w14:paraId="152B0AE4" w14:textId="77777777" w:rsidR="00226A28" w:rsidRPr="00A42B55" w:rsidRDefault="00117AD2">
      <w:pPr>
        <w:jc w:val="both"/>
        <w:rPr>
          <w:lang w:val="bg-BG"/>
        </w:rPr>
      </w:pPr>
      <w:r w:rsidRPr="00A42B55">
        <w:rPr>
          <w:lang w:val="bg-BG"/>
        </w:rPr>
        <w:t>Постигането на стратегическите цели предполага устойчива организация, която може да мобилизира професионалния потенциал на своите членове, да планира и осъществява инициативи, да изгражда партньорства и да осигурява необходимите ресурси за дейността си.</w:t>
      </w:r>
    </w:p>
    <w:p w14:paraId="2F4D8DCB" w14:textId="77777777" w:rsidR="00226A28" w:rsidRPr="00A42B55" w:rsidRDefault="00117AD2">
      <w:pPr>
        <w:jc w:val="both"/>
        <w:rPr>
          <w:lang w:val="bg-BG"/>
        </w:rPr>
      </w:pPr>
      <w:r w:rsidRPr="00A42B55">
        <w:rPr>
          <w:lang w:val="bg-BG"/>
        </w:rPr>
        <w:t>Като нова организация АЖСБ следва едновременно да развива своята членска общност и да изгради работещи механизми за вътрешна комуникация, публично присъствие, управление на инициативи и проекти и финансова устойчивост. Този капацитет има обслужващ характер спрямо четирите стратегически приоритета и не представлява самостоятелна съдържателна цел.</w:t>
      </w:r>
    </w:p>
    <w:p w14:paraId="4D456ABB" w14:textId="77777777" w:rsidR="00226A28" w:rsidRPr="00A42B55" w:rsidRDefault="00117AD2">
      <w:pPr>
        <w:pStyle w:val="Heading3"/>
        <w:rPr>
          <w:lang w:val="bg-BG"/>
        </w:rPr>
      </w:pPr>
      <w:r w:rsidRPr="00A42B55">
        <w:rPr>
          <w:lang w:val="bg-BG"/>
        </w:rPr>
        <w:t>Основни направления</w:t>
      </w:r>
    </w:p>
    <w:p w14:paraId="7B1C546F" w14:textId="77777777" w:rsidR="00226A28" w:rsidRPr="00A42B55" w:rsidRDefault="00117AD2">
      <w:pPr>
        <w:ind w:left="255" w:hanging="255"/>
        <w:jc w:val="both"/>
        <w:rPr>
          <w:lang w:val="bg-BG"/>
        </w:rPr>
      </w:pPr>
      <w:r w:rsidRPr="00A42B55">
        <w:rPr>
          <w:lang w:val="bg-BG"/>
        </w:rPr>
        <w:t>1.  Развитие и активизиране на членската общност и привличане на нови членове.</w:t>
      </w:r>
    </w:p>
    <w:p w14:paraId="08E011A0" w14:textId="77777777" w:rsidR="00226A28" w:rsidRPr="00A42B55" w:rsidRDefault="00117AD2">
      <w:pPr>
        <w:ind w:left="255" w:hanging="255"/>
        <w:jc w:val="both"/>
        <w:rPr>
          <w:lang w:val="bg-BG"/>
        </w:rPr>
      </w:pPr>
      <w:r w:rsidRPr="00A42B55">
        <w:rPr>
          <w:lang w:val="bg-BG"/>
        </w:rPr>
        <w:t>2.  Ефективна вътрешна комуникация и възможности за участие на членовете според професионалния им интерес и конкретните инициативи.</w:t>
      </w:r>
    </w:p>
    <w:p w14:paraId="1710DECD" w14:textId="77777777" w:rsidR="00226A28" w:rsidRPr="00A42B55" w:rsidRDefault="00117AD2">
      <w:pPr>
        <w:ind w:left="255" w:hanging="255"/>
        <w:jc w:val="both"/>
        <w:rPr>
          <w:lang w:val="bg-BG"/>
        </w:rPr>
      </w:pPr>
      <w:r w:rsidRPr="00A42B55">
        <w:rPr>
          <w:lang w:val="bg-BG"/>
        </w:rPr>
        <w:t>3.  Развитие на сайта на АЖСБ като устойчива информационна, професионална и комуникационна платформа и поддържане на професионално публично присъствие.</w:t>
      </w:r>
    </w:p>
    <w:p w14:paraId="7D40105F" w14:textId="77777777" w:rsidR="00226A28" w:rsidRPr="00A42B55" w:rsidRDefault="00117AD2">
      <w:pPr>
        <w:ind w:left="255" w:hanging="255"/>
        <w:jc w:val="both"/>
        <w:rPr>
          <w:lang w:val="bg-BG"/>
        </w:rPr>
      </w:pPr>
      <w:r w:rsidRPr="00A42B55">
        <w:rPr>
          <w:lang w:val="bg-BG"/>
        </w:rPr>
        <w:lastRenderedPageBreak/>
        <w:t>4.  Национални и международни партньорства и участие в професионални мрежи.</w:t>
      </w:r>
    </w:p>
    <w:p w14:paraId="1DC10BAB" w14:textId="77777777" w:rsidR="00226A28" w:rsidRPr="00A42B55" w:rsidRDefault="00117AD2">
      <w:pPr>
        <w:ind w:left="255" w:hanging="255"/>
        <w:jc w:val="both"/>
        <w:rPr>
          <w:lang w:val="bg-BG"/>
        </w:rPr>
      </w:pPr>
      <w:r w:rsidRPr="00A42B55">
        <w:rPr>
          <w:lang w:val="bg-BG"/>
        </w:rPr>
        <w:t>5.  Развитие на проектен капацитет и привличане на разнообразни източници на финансиране при гарантиране независимостта на Асоциацията.</w:t>
      </w:r>
    </w:p>
    <w:p w14:paraId="11E95C0A" w14:textId="77777777" w:rsidR="00226A28" w:rsidRPr="00A42B55" w:rsidRDefault="00117AD2">
      <w:pPr>
        <w:ind w:left="255" w:hanging="255"/>
        <w:jc w:val="both"/>
        <w:rPr>
          <w:lang w:val="bg-BG"/>
        </w:rPr>
      </w:pPr>
      <w:r w:rsidRPr="00A42B55">
        <w:rPr>
          <w:lang w:val="bg-BG"/>
        </w:rPr>
        <w:t>6.  Съхраняване на институционалната памет – систематизиране на разработените материали, резултатите от инициативите, партньорствата и натрупания организационен опит.</w:t>
      </w:r>
    </w:p>
    <w:p w14:paraId="407CB8F6" w14:textId="77777777" w:rsidR="00226A28" w:rsidRPr="00A42B55" w:rsidRDefault="00117AD2">
      <w:pPr>
        <w:pStyle w:val="Heading3"/>
        <w:rPr>
          <w:lang w:val="bg-BG"/>
        </w:rPr>
      </w:pPr>
      <w:r w:rsidRPr="00A42B55">
        <w:rPr>
          <w:lang w:val="bg-BG"/>
        </w:rPr>
        <w:t>Очакван резултат до 2030 г.</w:t>
      </w:r>
    </w:p>
    <w:p w14:paraId="0BD07A3B" w14:textId="77777777" w:rsidR="00226A28" w:rsidRPr="00A42B55" w:rsidRDefault="00117AD2">
      <w:pPr>
        <w:jc w:val="both"/>
        <w:rPr>
          <w:lang w:val="bg-BG"/>
        </w:rPr>
      </w:pPr>
      <w:r w:rsidRPr="00A42B55">
        <w:rPr>
          <w:lang w:val="bg-BG"/>
        </w:rPr>
        <w:t>АЖСБ да разполага с активна членска общност, устойчиви механизми за управление и комуникация, развита партньорска мрежа и достатъчен организационен и финансов капацитет за последователно изпълнение на своите цели.</w:t>
      </w:r>
    </w:p>
    <w:p w14:paraId="57EDDA23" w14:textId="77777777" w:rsidR="00226A28" w:rsidRPr="00A42B55" w:rsidRDefault="00117AD2">
      <w:pPr>
        <w:pStyle w:val="Heading1"/>
        <w:rPr>
          <w:lang w:val="bg-BG"/>
        </w:rPr>
      </w:pPr>
      <w:r w:rsidRPr="00A42B55">
        <w:rPr>
          <w:lang w:val="bg-BG"/>
        </w:rPr>
        <w:t>8. Изпълнение, наблюдение и отчетност</w:t>
      </w:r>
    </w:p>
    <w:p w14:paraId="5AD64D1A" w14:textId="77777777" w:rsidR="00226A28" w:rsidRPr="00A42B55" w:rsidRDefault="00117AD2">
      <w:pPr>
        <w:jc w:val="both"/>
        <w:rPr>
          <w:lang w:val="bg-BG"/>
        </w:rPr>
      </w:pPr>
      <w:r w:rsidRPr="00A42B55">
        <w:rPr>
          <w:lang w:val="bg-BG"/>
        </w:rPr>
        <w:t>Стратегията се изпълнява чрез годишни програми за дейността на АЖСБ, в които се определят конкретните инициативи, срокове, отговорности, партньорства, необходимите ресурси и очакваните резултати.</w:t>
      </w:r>
    </w:p>
    <w:p w14:paraId="6A58B6DC" w14:textId="77777777" w:rsidR="00226A28" w:rsidRPr="00A42B55" w:rsidRDefault="00117AD2">
      <w:pPr>
        <w:jc w:val="both"/>
        <w:rPr>
          <w:lang w:val="bg-BG"/>
        </w:rPr>
      </w:pPr>
      <w:r w:rsidRPr="00A42B55">
        <w:rPr>
          <w:lang w:val="bg-BG"/>
        </w:rPr>
        <w:t>Годишното планиране следва да осигурява връзка между стратегическите приоритети, наличните ресурси и конкретните инициативи на АЖСБ, като същевременно запазва възможността Асоциацията да реагира на нововъзникнали потребности и възможности. При формирането на екипи се отчита доброволният характер на участието и готовността на членовете да се включват в конкретни инициативи и проекти.</w:t>
      </w:r>
    </w:p>
    <w:p w14:paraId="686BFCA5" w14:textId="77777777" w:rsidR="00226A28" w:rsidRPr="00A42B55" w:rsidRDefault="00117AD2">
      <w:pPr>
        <w:jc w:val="both"/>
        <w:rPr>
          <w:lang w:val="bg-BG"/>
        </w:rPr>
      </w:pPr>
      <w:r w:rsidRPr="00A42B55">
        <w:rPr>
          <w:lang w:val="bg-BG"/>
        </w:rPr>
        <w:t>Изпълнението на стратегията се проследява ежегодно във връзка с отчитането на дейността на Асоциацията. Оценката се основава както на количествени данни – проведени инициативи, участие, създадени материали и партньорства, така и на качествена обратна връзка за тяхната полезност и устойчивост. Индикаторите имат управленска, а не формална отчетна функция.</w:t>
      </w:r>
    </w:p>
    <w:p w14:paraId="11C84745" w14:textId="77777777" w:rsidR="00226A28" w:rsidRPr="00A42B55" w:rsidRDefault="00117AD2">
      <w:pPr>
        <w:jc w:val="both"/>
        <w:rPr>
          <w:lang w:val="bg-BG"/>
        </w:rPr>
      </w:pPr>
      <w:r w:rsidRPr="00A42B55">
        <w:rPr>
          <w:lang w:val="bg-BG"/>
        </w:rPr>
        <w:t>Управителният съвет извършва междинен преглед на изпълнението на стратегията през 2028 г. При съществени промени в професионалната, обществената или технологичната среда стратегическите направления могат да бъдат актуализирани по реда, предвиден в Устава.</w:t>
      </w:r>
    </w:p>
    <w:p w14:paraId="59E383CC" w14:textId="77777777" w:rsidR="00CA68AB" w:rsidRPr="00CA68AB" w:rsidRDefault="00CA68AB" w:rsidP="00CA68AB">
      <w:pPr>
        <w:rPr>
          <w:rFonts w:ascii="Arial" w:hAnsi="Arial" w:cs="Arial"/>
          <w:sz w:val="2"/>
          <w:szCs w:val="2"/>
          <w:lang w:val="bg-BG"/>
        </w:rPr>
      </w:pPr>
      <w:r w:rsidRPr="00CA68AB">
        <w:rPr>
          <w:rFonts w:ascii="Arial" w:hAnsi="Arial" w:cs="Arial"/>
          <w:sz w:val="2"/>
          <w:szCs w:val="2"/>
          <w:lang w:val="bg-BG"/>
        </w:rPr>
        <w:br w:type="page"/>
      </w:r>
    </w:p>
    <w:p w14:paraId="2C982549" w14:textId="77777777" w:rsidR="00226A28" w:rsidRPr="00A42B55" w:rsidRDefault="00117AD2">
      <w:pPr>
        <w:pStyle w:val="Heading1"/>
        <w:rPr>
          <w:lang w:val="bg-BG"/>
        </w:rPr>
      </w:pPr>
      <w:r w:rsidRPr="00A42B55">
        <w:rPr>
          <w:lang w:val="bg-BG"/>
        </w:rPr>
        <w:lastRenderedPageBreak/>
        <w:t>Приложение № 1</w:t>
      </w:r>
    </w:p>
    <w:p w14:paraId="63DB355D" w14:textId="77777777" w:rsidR="00226A28" w:rsidRPr="00A42B55" w:rsidRDefault="00117AD2">
      <w:pPr>
        <w:pStyle w:val="Heading2"/>
        <w:rPr>
          <w:lang w:val="bg-BG"/>
        </w:rPr>
      </w:pPr>
      <w:r w:rsidRPr="00A42B55">
        <w:rPr>
          <w:lang w:val="bg-BG"/>
        </w:rPr>
        <w:t>Резултати от вътрешното проучване сред членовете на АЖСБ</w:t>
      </w:r>
    </w:p>
    <w:p w14:paraId="6B9B1470" w14:textId="77777777" w:rsidR="00226A28" w:rsidRPr="00A42B55" w:rsidRDefault="00117AD2">
      <w:pPr>
        <w:jc w:val="both"/>
        <w:rPr>
          <w:lang w:val="bg-BG"/>
        </w:rPr>
      </w:pPr>
      <w:r w:rsidRPr="00A42B55">
        <w:rPr>
          <w:lang w:val="bg-BG"/>
        </w:rPr>
        <w:t>Проучването е проведено през септември 2026 г. във връзка с разработването на Стратегията за развитие на АЖСБ за периода 2027–2030 г. В него участват 20 от общо 26 членове на Асоциацията – 76,9% от членския състав. Анкетата е анонимна. При тематичните въпроси участниците могат да посочват повече от един отговор, поради което процентите не формират сбор от 100%.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08"/>
        <w:gridCol w:w="3207"/>
        <w:gridCol w:w="3207"/>
      </w:tblGrid>
      <w:tr w:rsidR="00226A28" w14:paraId="51C2FA8D" w14:textId="77777777">
        <w:trPr>
          <w:jc w:val="center"/>
        </w:trPr>
        <w:tc>
          <w:tcPr>
            <w:tcW w:w="3211" w:type="dxa"/>
            <w:shd w:val="clear" w:color="auto" w:fill="D9E2F3"/>
          </w:tcPr>
          <w:p w14:paraId="376BFCDB" w14:textId="77777777" w:rsidR="00226A28" w:rsidRDefault="00117AD2">
            <w:pPr>
              <w:spacing w:after="40"/>
            </w:pPr>
            <w:r>
              <w:rPr>
                <w:b/>
                <w:sz w:val="19"/>
              </w:rPr>
              <w:t>Направление / отговор</w:t>
            </w:r>
          </w:p>
        </w:tc>
        <w:tc>
          <w:tcPr>
            <w:tcW w:w="3211" w:type="dxa"/>
            <w:shd w:val="clear" w:color="auto" w:fill="D9E2F3"/>
          </w:tcPr>
          <w:p w14:paraId="44D03440" w14:textId="77777777" w:rsidR="00226A28" w:rsidRDefault="00117AD2">
            <w:pPr>
              <w:spacing w:after="40"/>
            </w:pPr>
            <w:r>
              <w:rPr>
                <w:b/>
                <w:sz w:val="19"/>
              </w:rPr>
              <w:t>Брой</w:t>
            </w:r>
          </w:p>
        </w:tc>
        <w:tc>
          <w:tcPr>
            <w:tcW w:w="3211" w:type="dxa"/>
            <w:shd w:val="clear" w:color="auto" w:fill="D9E2F3"/>
          </w:tcPr>
          <w:p w14:paraId="02715B2A" w14:textId="77777777" w:rsidR="00226A28" w:rsidRDefault="00117AD2">
            <w:pPr>
              <w:spacing w:after="40"/>
            </w:pPr>
            <w:r>
              <w:rPr>
                <w:b/>
                <w:sz w:val="19"/>
              </w:rPr>
              <w:t>%</w:t>
            </w:r>
          </w:p>
        </w:tc>
      </w:tr>
      <w:tr w:rsidR="00226A28" w14:paraId="2DF8547A" w14:textId="77777777">
        <w:trPr>
          <w:jc w:val="center"/>
        </w:trPr>
        <w:tc>
          <w:tcPr>
            <w:tcW w:w="9633" w:type="dxa"/>
            <w:gridSpan w:val="3"/>
            <w:shd w:val="clear" w:color="auto" w:fill="EDEDED"/>
          </w:tcPr>
          <w:p w14:paraId="4012D814" w14:textId="77777777" w:rsidR="00226A28" w:rsidRDefault="00117AD2">
            <w:pPr>
              <w:spacing w:after="40"/>
            </w:pPr>
            <w:r>
              <w:rPr>
                <w:b/>
                <w:sz w:val="19"/>
              </w:rPr>
              <w:t>I. Независимост, почтеност и високи стандарти в правосъдието</w:t>
            </w:r>
          </w:p>
        </w:tc>
      </w:tr>
      <w:tr w:rsidR="00226A28" w14:paraId="73D63E58" w14:textId="77777777">
        <w:trPr>
          <w:jc w:val="center"/>
        </w:trPr>
        <w:tc>
          <w:tcPr>
            <w:tcW w:w="3211" w:type="dxa"/>
            <w:vAlign w:val="center"/>
          </w:tcPr>
          <w:p w14:paraId="2ACDA4AA" w14:textId="77777777" w:rsidR="00226A28" w:rsidRDefault="00117AD2">
            <w:pPr>
              <w:spacing w:after="40"/>
            </w:pPr>
            <w:r>
              <w:rPr>
                <w:sz w:val="19"/>
              </w:rPr>
              <w:t>Дигитални компетентности и изкуствен интелект</w:t>
            </w:r>
          </w:p>
        </w:tc>
        <w:tc>
          <w:tcPr>
            <w:tcW w:w="3211" w:type="dxa"/>
            <w:vAlign w:val="center"/>
          </w:tcPr>
          <w:p w14:paraId="2E32C728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18</w:t>
            </w:r>
          </w:p>
        </w:tc>
        <w:tc>
          <w:tcPr>
            <w:tcW w:w="3211" w:type="dxa"/>
            <w:vAlign w:val="center"/>
          </w:tcPr>
          <w:p w14:paraId="6D0F0240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90%</w:t>
            </w:r>
          </w:p>
        </w:tc>
      </w:tr>
      <w:tr w:rsidR="00226A28" w14:paraId="09A53D12" w14:textId="77777777">
        <w:trPr>
          <w:jc w:val="center"/>
        </w:trPr>
        <w:tc>
          <w:tcPr>
            <w:tcW w:w="3211" w:type="dxa"/>
            <w:vAlign w:val="center"/>
          </w:tcPr>
          <w:p w14:paraId="7D22A1CA" w14:textId="77777777" w:rsidR="00226A28" w:rsidRDefault="00117AD2">
            <w:pPr>
              <w:spacing w:after="40"/>
            </w:pPr>
            <w:r>
              <w:rPr>
                <w:sz w:val="19"/>
              </w:rPr>
              <w:t>Съдебна независимост, професионална етика и почтеност</w:t>
            </w:r>
          </w:p>
        </w:tc>
        <w:tc>
          <w:tcPr>
            <w:tcW w:w="3211" w:type="dxa"/>
            <w:vAlign w:val="center"/>
          </w:tcPr>
          <w:p w14:paraId="34A5AAE9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17</w:t>
            </w:r>
          </w:p>
        </w:tc>
        <w:tc>
          <w:tcPr>
            <w:tcW w:w="3211" w:type="dxa"/>
            <w:vAlign w:val="center"/>
          </w:tcPr>
          <w:p w14:paraId="529A6F1B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85%</w:t>
            </w:r>
          </w:p>
        </w:tc>
      </w:tr>
      <w:tr w:rsidR="00226A28" w14:paraId="78D3FAFD" w14:textId="77777777">
        <w:trPr>
          <w:jc w:val="center"/>
        </w:trPr>
        <w:tc>
          <w:tcPr>
            <w:tcW w:w="3211" w:type="dxa"/>
            <w:vAlign w:val="center"/>
          </w:tcPr>
          <w:p w14:paraId="2324A259" w14:textId="77777777" w:rsidR="00226A28" w:rsidRDefault="00117AD2">
            <w:pPr>
              <w:spacing w:after="40"/>
            </w:pPr>
            <w:r>
              <w:rPr>
                <w:sz w:val="19"/>
              </w:rPr>
              <w:t>Анализ и обмен на съдебна практика</w:t>
            </w:r>
          </w:p>
        </w:tc>
        <w:tc>
          <w:tcPr>
            <w:tcW w:w="3211" w:type="dxa"/>
            <w:vAlign w:val="center"/>
          </w:tcPr>
          <w:p w14:paraId="4F74FCC2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10</w:t>
            </w:r>
          </w:p>
        </w:tc>
        <w:tc>
          <w:tcPr>
            <w:tcW w:w="3211" w:type="dxa"/>
            <w:vAlign w:val="center"/>
          </w:tcPr>
          <w:p w14:paraId="561182CE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50%</w:t>
            </w:r>
          </w:p>
        </w:tc>
      </w:tr>
      <w:tr w:rsidR="00226A28" w14:paraId="3E27B4BB" w14:textId="77777777">
        <w:trPr>
          <w:jc w:val="center"/>
        </w:trPr>
        <w:tc>
          <w:tcPr>
            <w:tcW w:w="3211" w:type="dxa"/>
            <w:vAlign w:val="center"/>
          </w:tcPr>
          <w:p w14:paraId="7750BA29" w14:textId="77777777" w:rsidR="00226A28" w:rsidRDefault="00117AD2">
            <w:pPr>
              <w:spacing w:after="40"/>
            </w:pPr>
            <w:r>
              <w:rPr>
                <w:sz w:val="19"/>
              </w:rPr>
              <w:t>Участие в дебата за правосъдието и върховенството на правото</w:t>
            </w:r>
          </w:p>
        </w:tc>
        <w:tc>
          <w:tcPr>
            <w:tcW w:w="3211" w:type="dxa"/>
            <w:vAlign w:val="center"/>
          </w:tcPr>
          <w:p w14:paraId="6F02B9A4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9</w:t>
            </w:r>
          </w:p>
        </w:tc>
        <w:tc>
          <w:tcPr>
            <w:tcW w:w="3211" w:type="dxa"/>
            <w:vAlign w:val="center"/>
          </w:tcPr>
          <w:p w14:paraId="5698C76E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45%</w:t>
            </w:r>
          </w:p>
        </w:tc>
      </w:tr>
      <w:tr w:rsidR="00226A28" w14:paraId="6BA0D95D" w14:textId="77777777">
        <w:trPr>
          <w:jc w:val="center"/>
        </w:trPr>
        <w:tc>
          <w:tcPr>
            <w:tcW w:w="3211" w:type="dxa"/>
            <w:vAlign w:val="center"/>
          </w:tcPr>
          <w:p w14:paraId="144D47BF" w14:textId="77777777" w:rsidR="00226A28" w:rsidRDefault="00117AD2">
            <w:pPr>
              <w:spacing w:after="40"/>
            </w:pPr>
            <w:r>
              <w:rPr>
                <w:sz w:val="19"/>
              </w:rPr>
              <w:t>Права на човека, достъп до правосъдие и уязвими групи</w:t>
            </w:r>
          </w:p>
        </w:tc>
        <w:tc>
          <w:tcPr>
            <w:tcW w:w="3211" w:type="dxa"/>
            <w:vAlign w:val="center"/>
          </w:tcPr>
          <w:p w14:paraId="73C62DBF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3211" w:type="dxa"/>
            <w:vAlign w:val="center"/>
          </w:tcPr>
          <w:p w14:paraId="14D5DD8B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25%</w:t>
            </w:r>
          </w:p>
        </w:tc>
      </w:tr>
      <w:tr w:rsidR="00226A28" w14:paraId="16F5C949" w14:textId="77777777">
        <w:trPr>
          <w:jc w:val="center"/>
        </w:trPr>
        <w:tc>
          <w:tcPr>
            <w:tcW w:w="9633" w:type="dxa"/>
            <w:gridSpan w:val="3"/>
            <w:shd w:val="clear" w:color="auto" w:fill="EDEDED"/>
          </w:tcPr>
          <w:p w14:paraId="14BFA3A6" w14:textId="77777777" w:rsidR="00226A28" w:rsidRDefault="00117AD2">
            <w:pPr>
              <w:spacing w:after="40"/>
            </w:pPr>
            <w:r>
              <w:rPr>
                <w:b/>
                <w:sz w:val="19"/>
              </w:rPr>
              <w:t>II. Съдийска общност, професионално развитие, благополучие и устойчивост</w:t>
            </w:r>
          </w:p>
        </w:tc>
      </w:tr>
      <w:tr w:rsidR="00226A28" w14:paraId="3C076078" w14:textId="77777777">
        <w:trPr>
          <w:jc w:val="center"/>
        </w:trPr>
        <w:tc>
          <w:tcPr>
            <w:tcW w:w="3211" w:type="dxa"/>
            <w:vAlign w:val="center"/>
          </w:tcPr>
          <w:p w14:paraId="6E37AEEA" w14:textId="77777777" w:rsidR="00226A28" w:rsidRDefault="00117AD2">
            <w:pPr>
              <w:spacing w:after="40"/>
            </w:pPr>
            <w:r>
              <w:rPr>
                <w:sz w:val="19"/>
              </w:rPr>
              <w:t>Превенция на професионалното прегаряне и стреса</w:t>
            </w:r>
          </w:p>
        </w:tc>
        <w:tc>
          <w:tcPr>
            <w:tcW w:w="3211" w:type="dxa"/>
            <w:vAlign w:val="center"/>
          </w:tcPr>
          <w:p w14:paraId="693E2617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14</w:t>
            </w:r>
          </w:p>
        </w:tc>
        <w:tc>
          <w:tcPr>
            <w:tcW w:w="3211" w:type="dxa"/>
            <w:vAlign w:val="center"/>
          </w:tcPr>
          <w:p w14:paraId="10482D87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70%</w:t>
            </w:r>
          </w:p>
        </w:tc>
      </w:tr>
      <w:tr w:rsidR="00226A28" w14:paraId="5A647228" w14:textId="77777777">
        <w:trPr>
          <w:jc w:val="center"/>
        </w:trPr>
        <w:tc>
          <w:tcPr>
            <w:tcW w:w="3211" w:type="dxa"/>
            <w:vAlign w:val="center"/>
          </w:tcPr>
          <w:p w14:paraId="020CBFED" w14:textId="77777777" w:rsidR="00226A28" w:rsidRDefault="00117AD2">
            <w:pPr>
              <w:spacing w:after="40"/>
            </w:pPr>
            <w:r>
              <w:rPr>
                <w:sz w:val="19"/>
              </w:rPr>
              <w:t>Психическо и физическо благополучие</w:t>
            </w:r>
          </w:p>
        </w:tc>
        <w:tc>
          <w:tcPr>
            <w:tcW w:w="3211" w:type="dxa"/>
            <w:vAlign w:val="center"/>
          </w:tcPr>
          <w:p w14:paraId="3E2BA2E4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13</w:t>
            </w:r>
          </w:p>
        </w:tc>
        <w:tc>
          <w:tcPr>
            <w:tcW w:w="3211" w:type="dxa"/>
            <w:vAlign w:val="center"/>
          </w:tcPr>
          <w:p w14:paraId="2B14DCB9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65%</w:t>
            </w:r>
          </w:p>
        </w:tc>
      </w:tr>
      <w:tr w:rsidR="00226A28" w14:paraId="6EED2806" w14:textId="77777777">
        <w:trPr>
          <w:jc w:val="center"/>
        </w:trPr>
        <w:tc>
          <w:tcPr>
            <w:tcW w:w="3211" w:type="dxa"/>
            <w:vAlign w:val="center"/>
          </w:tcPr>
          <w:p w14:paraId="5A7C5746" w14:textId="77777777" w:rsidR="00226A28" w:rsidRDefault="00117AD2">
            <w:pPr>
              <w:spacing w:after="40"/>
            </w:pPr>
            <w:r>
              <w:rPr>
                <w:sz w:val="19"/>
              </w:rPr>
              <w:t>Технологии за по-добра организация на съдийския труд</w:t>
            </w:r>
          </w:p>
        </w:tc>
        <w:tc>
          <w:tcPr>
            <w:tcW w:w="3211" w:type="dxa"/>
            <w:vAlign w:val="center"/>
          </w:tcPr>
          <w:p w14:paraId="6F2D0419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13</w:t>
            </w:r>
          </w:p>
        </w:tc>
        <w:tc>
          <w:tcPr>
            <w:tcW w:w="3211" w:type="dxa"/>
            <w:vAlign w:val="center"/>
          </w:tcPr>
          <w:p w14:paraId="2D0333F6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65%</w:t>
            </w:r>
          </w:p>
        </w:tc>
      </w:tr>
      <w:tr w:rsidR="00226A28" w14:paraId="2FBF3987" w14:textId="77777777">
        <w:trPr>
          <w:jc w:val="center"/>
        </w:trPr>
        <w:tc>
          <w:tcPr>
            <w:tcW w:w="3211" w:type="dxa"/>
            <w:vAlign w:val="center"/>
          </w:tcPr>
          <w:p w14:paraId="1B256F35" w14:textId="77777777" w:rsidR="00226A28" w:rsidRDefault="00117AD2">
            <w:pPr>
              <w:spacing w:after="40"/>
            </w:pPr>
            <w:r>
              <w:rPr>
                <w:sz w:val="19"/>
              </w:rPr>
              <w:t>Менторство и обмен между поколенията</w:t>
            </w:r>
          </w:p>
        </w:tc>
        <w:tc>
          <w:tcPr>
            <w:tcW w:w="3211" w:type="dxa"/>
            <w:vAlign w:val="center"/>
          </w:tcPr>
          <w:p w14:paraId="06281601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10</w:t>
            </w:r>
          </w:p>
        </w:tc>
        <w:tc>
          <w:tcPr>
            <w:tcW w:w="3211" w:type="dxa"/>
            <w:vAlign w:val="center"/>
          </w:tcPr>
          <w:p w14:paraId="4AE0DE5C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50%</w:t>
            </w:r>
          </w:p>
        </w:tc>
      </w:tr>
      <w:tr w:rsidR="00226A28" w14:paraId="33E867E9" w14:textId="77777777">
        <w:trPr>
          <w:jc w:val="center"/>
        </w:trPr>
        <w:tc>
          <w:tcPr>
            <w:tcW w:w="3211" w:type="dxa"/>
            <w:vAlign w:val="center"/>
          </w:tcPr>
          <w:p w14:paraId="560EBC2B" w14:textId="77777777" w:rsidR="00226A28" w:rsidRDefault="00117AD2">
            <w:pPr>
              <w:spacing w:after="40"/>
            </w:pPr>
            <w:r>
              <w:rPr>
                <w:sz w:val="19"/>
              </w:rPr>
              <w:t>Колегиална подкрепа при професионални и лични кризи</w:t>
            </w:r>
          </w:p>
        </w:tc>
        <w:tc>
          <w:tcPr>
            <w:tcW w:w="3211" w:type="dxa"/>
            <w:vAlign w:val="center"/>
          </w:tcPr>
          <w:p w14:paraId="0E55AC72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w="3211" w:type="dxa"/>
            <w:vAlign w:val="center"/>
          </w:tcPr>
          <w:p w14:paraId="07C53755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35%</w:t>
            </w:r>
          </w:p>
        </w:tc>
      </w:tr>
      <w:tr w:rsidR="00226A28" w14:paraId="7441BDE3" w14:textId="77777777">
        <w:trPr>
          <w:jc w:val="center"/>
        </w:trPr>
        <w:tc>
          <w:tcPr>
            <w:tcW w:w="3211" w:type="dxa"/>
            <w:vAlign w:val="center"/>
          </w:tcPr>
          <w:p w14:paraId="75E719AD" w14:textId="77777777" w:rsidR="00226A28" w:rsidRDefault="00117AD2">
            <w:pPr>
              <w:spacing w:after="40"/>
            </w:pPr>
            <w:r>
              <w:rPr>
                <w:sz w:val="19"/>
              </w:rPr>
              <w:t>Лидерство, комуникационни умения и личностно развитие</w:t>
            </w:r>
          </w:p>
        </w:tc>
        <w:tc>
          <w:tcPr>
            <w:tcW w:w="3211" w:type="dxa"/>
            <w:vAlign w:val="center"/>
          </w:tcPr>
          <w:p w14:paraId="3DD0FF5A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3211" w:type="dxa"/>
            <w:vAlign w:val="center"/>
          </w:tcPr>
          <w:p w14:paraId="15E10321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15%</w:t>
            </w:r>
          </w:p>
        </w:tc>
      </w:tr>
      <w:tr w:rsidR="00226A28" w14:paraId="44983D4E" w14:textId="77777777">
        <w:trPr>
          <w:jc w:val="center"/>
        </w:trPr>
        <w:tc>
          <w:tcPr>
            <w:tcW w:w="9633" w:type="dxa"/>
            <w:gridSpan w:val="3"/>
            <w:shd w:val="clear" w:color="auto" w:fill="EDEDED"/>
          </w:tcPr>
          <w:p w14:paraId="191E9073" w14:textId="77777777" w:rsidR="00226A28" w:rsidRDefault="00117AD2">
            <w:pPr>
              <w:spacing w:after="40"/>
            </w:pPr>
            <w:r>
              <w:rPr>
                <w:b/>
                <w:sz w:val="19"/>
              </w:rPr>
              <w:t>III. Съд и общество – доверие, диалог и публична ангажираност</w:t>
            </w:r>
          </w:p>
        </w:tc>
      </w:tr>
      <w:tr w:rsidR="00226A28" w14:paraId="565D3A2B" w14:textId="77777777">
        <w:trPr>
          <w:jc w:val="center"/>
        </w:trPr>
        <w:tc>
          <w:tcPr>
            <w:tcW w:w="3211" w:type="dxa"/>
            <w:vAlign w:val="center"/>
          </w:tcPr>
          <w:p w14:paraId="1F74B5A6" w14:textId="77777777" w:rsidR="00226A28" w:rsidRDefault="00117AD2">
            <w:pPr>
              <w:spacing w:after="40"/>
            </w:pPr>
            <w:r>
              <w:rPr>
                <w:sz w:val="19"/>
              </w:rPr>
              <w:t>Диалог и комуникация между съда и обществото</w:t>
            </w:r>
          </w:p>
        </w:tc>
        <w:tc>
          <w:tcPr>
            <w:tcW w:w="3211" w:type="dxa"/>
            <w:vAlign w:val="center"/>
          </w:tcPr>
          <w:p w14:paraId="5B6972C0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14</w:t>
            </w:r>
          </w:p>
        </w:tc>
        <w:tc>
          <w:tcPr>
            <w:tcW w:w="3211" w:type="dxa"/>
            <w:vAlign w:val="center"/>
          </w:tcPr>
          <w:p w14:paraId="77641A98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70%</w:t>
            </w:r>
          </w:p>
        </w:tc>
      </w:tr>
      <w:tr w:rsidR="00226A28" w14:paraId="6D9F5DC3" w14:textId="77777777">
        <w:trPr>
          <w:jc w:val="center"/>
        </w:trPr>
        <w:tc>
          <w:tcPr>
            <w:tcW w:w="3211" w:type="dxa"/>
            <w:vAlign w:val="center"/>
          </w:tcPr>
          <w:p w14:paraId="518D74B0" w14:textId="77777777" w:rsidR="00226A28" w:rsidRDefault="00117AD2">
            <w:pPr>
              <w:spacing w:after="40"/>
            </w:pPr>
            <w:r>
              <w:rPr>
                <w:sz w:val="19"/>
              </w:rPr>
              <w:t>Правна грамотност и разбиране за ролята на съда</w:t>
            </w:r>
          </w:p>
        </w:tc>
        <w:tc>
          <w:tcPr>
            <w:tcW w:w="3211" w:type="dxa"/>
            <w:vAlign w:val="center"/>
          </w:tcPr>
          <w:p w14:paraId="3AC26173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13</w:t>
            </w:r>
          </w:p>
        </w:tc>
        <w:tc>
          <w:tcPr>
            <w:tcW w:w="3211" w:type="dxa"/>
            <w:vAlign w:val="center"/>
          </w:tcPr>
          <w:p w14:paraId="4E2146A1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65%</w:t>
            </w:r>
          </w:p>
        </w:tc>
      </w:tr>
      <w:tr w:rsidR="00226A28" w14:paraId="1EA21224" w14:textId="77777777">
        <w:trPr>
          <w:jc w:val="center"/>
        </w:trPr>
        <w:tc>
          <w:tcPr>
            <w:tcW w:w="3211" w:type="dxa"/>
            <w:vAlign w:val="center"/>
          </w:tcPr>
          <w:p w14:paraId="15DCE26D" w14:textId="77777777" w:rsidR="00226A28" w:rsidRDefault="00117AD2">
            <w:pPr>
              <w:spacing w:after="40"/>
            </w:pPr>
            <w:r>
              <w:rPr>
                <w:sz w:val="19"/>
              </w:rPr>
              <w:t>Образователни инициативи с ученици и студенти</w:t>
            </w:r>
          </w:p>
        </w:tc>
        <w:tc>
          <w:tcPr>
            <w:tcW w:w="3211" w:type="dxa"/>
            <w:vAlign w:val="center"/>
          </w:tcPr>
          <w:p w14:paraId="55E72851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12</w:t>
            </w:r>
          </w:p>
        </w:tc>
        <w:tc>
          <w:tcPr>
            <w:tcW w:w="3211" w:type="dxa"/>
            <w:vAlign w:val="center"/>
          </w:tcPr>
          <w:p w14:paraId="20029886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60%</w:t>
            </w:r>
          </w:p>
        </w:tc>
      </w:tr>
      <w:tr w:rsidR="00226A28" w14:paraId="60706FE9" w14:textId="77777777">
        <w:trPr>
          <w:jc w:val="center"/>
        </w:trPr>
        <w:tc>
          <w:tcPr>
            <w:tcW w:w="3211" w:type="dxa"/>
            <w:vAlign w:val="center"/>
          </w:tcPr>
          <w:p w14:paraId="4A9EB12A" w14:textId="77777777" w:rsidR="00226A28" w:rsidRDefault="00117AD2">
            <w:pPr>
              <w:spacing w:after="40"/>
            </w:pPr>
            <w:r>
              <w:rPr>
                <w:sz w:val="19"/>
              </w:rPr>
              <w:t>Превенция на зависимостите сред младите хора</w:t>
            </w:r>
          </w:p>
        </w:tc>
        <w:tc>
          <w:tcPr>
            <w:tcW w:w="3211" w:type="dxa"/>
            <w:vAlign w:val="center"/>
          </w:tcPr>
          <w:p w14:paraId="44FF7A0A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11</w:t>
            </w:r>
          </w:p>
        </w:tc>
        <w:tc>
          <w:tcPr>
            <w:tcW w:w="3211" w:type="dxa"/>
            <w:vAlign w:val="center"/>
          </w:tcPr>
          <w:p w14:paraId="17F9AD0C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55%</w:t>
            </w:r>
          </w:p>
        </w:tc>
      </w:tr>
      <w:tr w:rsidR="00226A28" w14:paraId="1F0E0D10" w14:textId="77777777">
        <w:trPr>
          <w:jc w:val="center"/>
        </w:trPr>
        <w:tc>
          <w:tcPr>
            <w:tcW w:w="3211" w:type="dxa"/>
            <w:vAlign w:val="center"/>
          </w:tcPr>
          <w:p w14:paraId="54823395" w14:textId="77777777" w:rsidR="00226A28" w:rsidRDefault="00117AD2">
            <w:pPr>
              <w:spacing w:after="40"/>
            </w:pPr>
            <w:r>
              <w:rPr>
                <w:sz w:val="19"/>
              </w:rPr>
              <w:t>Превенция на насилието и радикализацията сред младите хора</w:t>
            </w:r>
          </w:p>
        </w:tc>
        <w:tc>
          <w:tcPr>
            <w:tcW w:w="3211" w:type="dxa"/>
            <w:vAlign w:val="center"/>
          </w:tcPr>
          <w:p w14:paraId="2201B139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6</w:t>
            </w:r>
          </w:p>
        </w:tc>
        <w:tc>
          <w:tcPr>
            <w:tcW w:w="3211" w:type="dxa"/>
            <w:vAlign w:val="center"/>
          </w:tcPr>
          <w:p w14:paraId="35F8A63C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30%</w:t>
            </w:r>
          </w:p>
        </w:tc>
      </w:tr>
      <w:tr w:rsidR="00226A28" w14:paraId="7BD48C9C" w14:textId="77777777">
        <w:trPr>
          <w:jc w:val="center"/>
        </w:trPr>
        <w:tc>
          <w:tcPr>
            <w:tcW w:w="3211" w:type="dxa"/>
            <w:vAlign w:val="center"/>
          </w:tcPr>
          <w:p w14:paraId="7917DA4D" w14:textId="77777777" w:rsidR="00226A28" w:rsidRDefault="00117AD2">
            <w:pPr>
              <w:spacing w:after="40"/>
            </w:pPr>
            <w:r>
              <w:rPr>
                <w:sz w:val="19"/>
              </w:rPr>
              <w:t>Проучвания на знанията, нагласите и доверието към съда</w:t>
            </w:r>
          </w:p>
        </w:tc>
        <w:tc>
          <w:tcPr>
            <w:tcW w:w="3211" w:type="dxa"/>
            <w:vAlign w:val="center"/>
          </w:tcPr>
          <w:p w14:paraId="231EC4B8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3211" w:type="dxa"/>
            <w:vAlign w:val="center"/>
          </w:tcPr>
          <w:p w14:paraId="6E6D8D59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15%</w:t>
            </w:r>
          </w:p>
        </w:tc>
      </w:tr>
      <w:tr w:rsidR="00226A28" w14:paraId="752E42C7" w14:textId="77777777">
        <w:trPr>
          <w:jc w:val="center"/>
        </w:trPr>
        <w:tc>
          <w:tcPr>
            <w:tcW w:w="9633" w:type="dxa"/>
            <w:gridSpan w:val="3"/>
            <w:shd w:val="clear" w:color="auto" w:fill="EDEDED"/>
          </w:tcPr>
          <w:p w14:paraId="2423317D" w14:textId="77777777" w:rsidR="00226A28" w:rsidRDefault="00117AD2">
            <w:pPr>
              <w:spacing w:after="40"/>
            </w:pPr>
            <w:r>
              <w:rPr>
                <w:b/>
                <w:sz w:val="19"/>
              </w:rPr>
              <w:t>IV. Равнопоставеност, подкрепа и лидерство на жените съдии</w:t>
            </w:r>
          </w:p>
        </w:tc>
      </w:tr>
      <w:tr w:rsidR="00226A28" w14:paraId="5965C1C0" w14:textId="77777777">
        <w:trPr>
          <w:jc w:val="center"/>
        </w:trPr>
        <w:tc>
          <w:tcPr>
            <w:tcW w:w="3211" w:type="dxa"/>
            <w:vAlign w:val="center"/>
          </w:tcPr>
          <w:p w14:paraId="0AC4B93E" w14:textId="77777777" w:rsidR="00226A28" w:rsidRDefault="00117AD2">
            <w:pPr>
              <w:spacing w:after="40"/>
            </w:pPr>
            <w:r>
              <w:rPr>
                <w:sz w:val="19"/>
              </w:rPr>
              <w:lastRenderedPageBreak/>
              <w:t>Международни контакти и обмен между жени съдии</w:t>
            </w:r>
          </w:p>
        </w:tc>
        <w:tc>
          <w:tcPr>
            <w:tcW w:w="3211" w:type="dxa"/>
            <w:vAlign w:val="center"/>
          </w:tcPr>
          <w:p w14:paraId="38033732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12</w:t>
            </w:r>
          </w:p>
        </w:tc>
        <w:tc>
          <w:tcPr>
            <w:tcW w:w="3211" w:type="dxa"/>
            <w:vAlign w:val="center"/>
          </w:tcPr>
          <w:p w14:paraId="6E69516D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60%</w:t>
            </w:r>
          </w:p>
        </w:tc>
      </w:tr>
      <w:tr w:rsidR="00226A28" w14:paraId="2C695C2D" w14:textId="77777777">
        <w:trPr>
          <w:jc w:val="center"/>
        </w:trPr>
        <w:tc>
          <w:tcPr>
            <w:tcW w:w="3211" w:type="dxa"/>
            <w:vAlign w:val="center"/>
          </w:tcPr>
          <w:p w14:paraId="2FC6C608" w14:textId="77777777" w:rsidR="00226A28" w:rsidRDefault="00117AD2">
            <w:pPr>
              <w:spacing w:after="40"/>
            </w:pPr>
            <w:r>
              <w:rPr>
                <w:sz w:val="19"/>
              </w:rPr>
              <w:t>Равни възможности за професионално и кариерно развитие</w:t>
            </w:r>
          </w:p>
        </w:tc>
        <w:tc>
          <w:tcPr>
            <w:tcW w:w="3211" w:type="dxa"/>
            <w:vAlign w:val="center"/>
          </w:tcPr>
          <w:p w14:paraId="77A7EE3B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12</w:t>
            </w:r>
          </w:p>
        </w:tc>
        <w:tc>
          <w:tcPr>
            <w:tcW w:w="3211" w:type="dxa"/>
            <w:vAlign w:val="center"/>
          </w:tcPr>
          <w:p w14:paraId="006B38A9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60%</w:t>
            </w:r>
          </w:p>
        </w:tc>
      </w:tr>
      <w:tr w:rsidR="00226A28" w14:paraId="2B8220A0" w14:textId="77777777">
        <w:trPr>
          <w:jc w:val="center"/>
        </w:trPr>
        <w:tc>
          <w:tcPr>
            <w:tcW w:w="3211" w:type="dxa"/>
            <w:vAlign w:val="center"/>
          </w:tcPr>
          <w:p w14:paraId="6101E757" w14:textId="77777777" w:rsidR="00226A28" w:rsidRDefault="00117AD2">
            <w:pPr>
              <w:spacing w:after="40"/>
            </w:pPr>
            <w:r>
              <w:rPr>
                <w:sz w:val="19"/>
              </w:rPr>
              <w:t>Подкрепа в различните етапи на професионалния път</w:t>
            </w:r>
          </w:p>
        </w:tc>
        <w:tc>
          <w:tcPr>
            <w:tcW w:w="3211" w:type="dxa"/>
            <w:vAlign w:val="center"/>
          </w:tcPr>
          <w:p w14:paraId="2114D467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10</w:t>
            </w:r>
          </w:p>
        </w:tc>
        <w:tc>
          <w:tcPr>
            <w:tcW w:w="3211" w:type="dxa"/>
            <w:vAlign w:val="center"/>
          </w:tcPr>
          <w:p w14:paraId="372542D8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50%</w:t>
            </w:r>
          </w:p>
        </w:tc>
      </w:tr>
      <w:tr w:rsidR="00226A28" w14:paraId="44F69F1C" w14:textId="77777777">
        <w:trPr>
          <w:jc w:val="center"/>
        </w:trPr>
        <w:tc>
          <w:tcPr>
            <w:tcW w:w="3211" w:type="dxa"/>
            <w:vAlign w:val="center"/>
          </w:tcPr>
          <w:p w14:paraId="3A2A70E5" w14:textId="77777777" w:rsidR="00226A28" w:rsidRDefault="00117AD2">
            <w:pPr>
              <w:spacing w:after="40"/>
            </w:pPr>
            <w:r>
              <w:rPr>
                <w:sz w:val="19"/>
              </w:rPr>
              <w:t>Преодоляване на стереотипите за жените съдии</w:t>
            </w:r>
          </w:p>
        </w:tc>
        <w:tc>
          <w:tcPr>
            <w:tcW w:w="3211" w:type="dxa"/>
            <w:vAlign w:val="center"/>
          </w:tcPr>
          <w:p w14:paraId="0939C1B5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9</w:t>
            </w:r>
          </w:p>
        </w:tc>
        <w:tc>
          <w:tcPr>
            <w:tcW w:w="3211" w:type="dxa"/>
            <w:vAlign w:val="center"/>
          </w:tcPr>
          <w:p w14:paraId="07C8FF4B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45%</w:t>
            </w:r>
          </w:p>
        </w:tc>
      </w:tr>
      <w:tr w:rsidR="00226A28" w14:paraId="3E3237D2" w14:textId="77777777">
        <w:trPr>
          <w:jc w:val="center"/>
        </w:trPr>
        <w:tc>
          <w:tcPr>
            <w:tcW w:w="3211" w:type="dxa"/>
            <w:vAlign w:val="center"/>
          </w:tcPr>
          <w:p w14:paraId="4442DE39" w14:textId="77777777" w:rsidR="00226A28" w:rsidRDefault="00117AD2">
            <w:pPr>
              <w:spacing w:after="40"/>
            </w:pPr>
            <w:r>
              <w:rPr>
                <w:sz w:val="19"/>
              </w:rPr>
              <w:t>Видимост на професионалния опит и постиженията</w:t>
            </w:r>
          </w:p>
        </w:tc>
        <w:tc>
          <w:tcPr>
            <w:tcW w:w="3211" w:type="dxa"/>
            <w:vAlign w:val="center"/>
          </w:tcPr>
          <w:p w14:paraId="5453FD82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8</w:t>
            </w:r>
          </w:p>
        </w:tc>
        <w:tc>
          <w:tcPr>
            <w:tcW w:w="3211" w:type="dxa"/>
            <w:vAlign w:val="center"/>
          </w:tcPr>
          <w:p w14:paraId="35314509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40%</w:t>
            </w:r>
          </w:p>
        </w:tc>
      </w:tr>
      <w:tr w:rsidR="00226A28" w14:paraId="133B350C" w14:textId="77777777">
        <w:trPr>
          <w:jc w:val="center"/>
        </w:trPr>
        <w:tc>
          <w:tcPr>
            <w:tcW w:w="3211" w:type="dxa"/>
            <w:vAlign w:val="center"/>
          </w:tcPr>
          <w:p w14:paraId="27944D0E" w14:textId="77777777" w:rsidR="00226A28" w:rsidRDefault="00117AD2">
            <w:pPr>
              <w:spacing w:after="40"/>
            </w:pPr>
            <w:r>
              <w:rPr>
                <w:sz w:val="19"/>
              </w:rPr>
              <w:t>Лидерство и активно участие на жените съдии</w:t>
            </w:r>
          </w:p>
        </w:tc>
        <w:tc>
          <w:tcPr>
            <w:tcW w:w="3211" w:type="dxa"/>
            <w:vAlign w:val="center"/>
          </w:tcPr>
          <w:p w14:paraId="7F5CDCC9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6</w:t>
            </w:r>
          </w:p>
        </w:tc>
        <w:tc>
          <w:tcPr>
            <w:tcW w:w="3211" w:type="dxa"/>
            <w:vAlign w:val="center"/>
          </w:tcPr>
          <w:p w14:paraId="288F0EE5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30%</w:t>
            </w:r>
          </w:p>
        </w:tc>
      </w:tr>
      <w:tr w:rsidR="00226A28" w14:paraId="6F5355A5" w14:textId="77777777">
        <w:trPr>
          <w:jc w:val="center"/>
        </w:trPr>
        <w:tc>
          <w:tcPr>
            <w:tcW w:w="9633" w:type="dxa"/>
            <w:gridSpan w:val="3"/>
            <w:shd w:val="clear" w:color="auto" w:fill="EDEDED"/>
          </w:tcPr>
          <w:p w14:paraId="616EB645" w14:textId="77777777" w:rsidR="00226A28" w:rsidRDefault="00117AD2">
            <w:pPr>
              <w:spacing w:after="40"/>
            </w:pPr>
            <w:r>
              <w:rPr>
                <w:b/>
                <w:sz w:val="19"/>
              </w:rPr>
              <w:t>V. Организационно развитие, партньорства и международно сътрудничество</w:t>
            </w:r>
          </w:p>
        </w:tc>
      </w:tr>
      <w:tr w:rsidR="00226A28" w14:paraId="6DA5A942" w14:textId="77777777">
        <w:trPr>
          <w:jc w:val="center"/>
        </w:trPr>
        <w:tc>
          <w:tcPr>
            <w:tcW w:w="3211" w:type="dxa"/>
            <w:vAlign w:val="center"/>
          </w:tcPr>
          <w:p w14:paraId="6B09A050" w14:textId="77777777" w:rsidR="00226A28" w:rsidRDefault="00117AD2">
            <w:pPr>
              <w:spacing w:after="40"/>
            </w:pPr>
            <w:r>
              <w:rPr>
                <w:sz w:val="19"/>
              </w:rPr>
              <w:t>Активна членска общност и привличане на нови членове</w:t>
            </w:r>
          </w:p>
        </w:tc>
        <w:tc>
          <w:tcPr>
            <w:tcW w:w="3211" w:type="dxa"/>
            <w:vAlign w:val="center"/>
          </w:tcPr>
          <w:p w14:paraId="6B580330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12</w:t>
            </w:r>
          </w:p>
        </w:tc>
        <w:tc>
          <w:tcPr>
            <w:tcW w:w="3211" w:type="dxa"/>
            <w:vAlign w:val="center"/>
          </w:tcPr>
          <w:p w14:paraId="2A7F3875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60%</w:t>
            </w:r>
          </w:p>
        </w:tc>
      </w:tr>
      <w:tr w:rsidR="00226A28" w14:paraId="7EE7DC30" w14:textId="77777777">
        <w:trPr>
          <w:jc w:val="center"/>
        </w:trPr>
        <w:tc>
          <w:tcPr>
            <w:tcW w:w="3211" w:type="dxa"/>
            <w:vAlign w:val="center"/>
          </w:tcPr>
          <w:p w14:paraId="075B3121" w14:textId="77777777" w:rsidR="00226A28" w:rsidRDefault="00117AD2">
            <w:pPr>
              <w:spacing w:after="40"/>
            </w:pPr>
            <w:r>
              <w:rPr>
                <w:sz w:val="19"/>
              </w:rPr>
              <w:t>Партньорства с институции, университети и НПО</w:t>
            </w:r>
          </w:p>
        </w:tc>
        <w:tc>
          <w:tcPr>
            <w:tcW w:w="3211" w:type="dxa"/>
            <w:vAlign w:val="center"/>
          </w:tcPr>
          <w:p w14:paraId="5078850C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11</w:t>
            </w:r>
          </w:p>
        </w:tc>
        <w:tc>
          <w:tcPr>
            <w:tcW w:w="3211" w:type="dxa"/>
            <w:vAlign w:val="center"/>
          </w:tcPr>
          <w:p w14:paraId="3A94F0D5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55%</w:t>
            </w:r>
          </w:p>
        </w:tc>
      </w:tr>
      <w:tr w:rsidR="00226A28" w14:paraId="6C840C2B" w14:textId="77777777">
        <w:trPr>
          <w:jc w:val="center"/>
        </w:trPr>
        <w:tc>
          <w:tcPr>
            <w:tcW w:w="3211" w:type="dxa"/>
            <w:vAlign w:val="center"/>
          </w:tcPr>
          <w:p w14:paraId="1FF72236" w14:textId="77777777" w:rsidR="00226A28" w:rsidRDefault="00117AD2">
            <w:pPr>
              <w:spacing w:after="40"/>
            </w:pPr>
            <w:r>
              <w:rPr>
                <w:sz w:val="19"/>
              </w:rPr>
              <w:t>Проектна дейност и осигуряване на финансиране</w:t>
            </w:r>
          </w:p>
        </w:tc>
        <w:tc>
          <w:tcPr>
            <w:tcW w:w="3211" w:type="dxa"/>
            <w:vAlign w:val="center"/>
          </w:tcPr>
          <w:p w14:paraId="66E8465C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10</w:t>
            </w:r>
          </w:p>
        </w:tc>
        <w:tc>
          <w:tcPr>
            <w:tcW w:w="3211" w:type="dxa"/>
            <w:vAlign w:val="center"/>
          </w:tcPr>
          <w:p w14:paraId="77E021F8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50%</w:t>
            </w:r>
          </w:p>
        </w:tc>
      </w:tr>
      <w:tr w:rsidR="00226A28" w14:paraId="25AA2643" w14:textId="77777777">
        <w:trPr>
          <w:jc w:val="center"/>
        </w:trPr>
        <w:tc>
          <w:tcPr>
            <w:tcW w:w="3211" w:type="dxa"/>
            <w:vAlign w:val="center"/>
          </w:tcPr>
          <w:p w14:paraId="20D3CF2D" w14:textId="77777777" w:rsidR="00226A28" w:rsidRDefault="00117AD2">
            <w:pPr>
              <w:spacing w:after="40"/>
            </w:pPr>
            <w:r>
              <w:rPr>
                <w:sz w:val="19"/>
              </w:rPr>
              <w:t>Сайт и публично присъствие</w:t>
            </w:r>
          </w:p>
        </w:tc>
        <w:tc>
          <w:tcPr>
            <w:tcW w:w="3211" w:type="dxa"/>
            <w:vAlign w:val="center"/>
          </w:tcPr>
          <w:p w14:paraId="78BFA711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10</w:t>
            </w:r>
          </w:p>
        </w:tc>
        <w:tc>
          <w:tcPr>
            <w:tcW w:w="3211" w:type="dxa"/>
            <w:vAlign w:val="center"/>
          </w:tcPr>
          <w:p w14:paraId="6B794071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50%</w:t>
            </w:r>
          </w:p>
        </w:tc>
      </w:tr>
      <w:tr w:rsidR="00226A28" w14:paraId="61CF65B0" w14:textId="77777777">
        <w:trPr>
          <w:jc w:val="center"/>
        </w:trPr>
        <w:tc>
          <w:tcPr>
            <w:tcW w:w="3211" w:type="dxa"/>
            <w:vAlign w:val="center"/>
          </w:tcPr>
          <w:p w14:paraId="0B8AB1E2" w14:textId="77777777" w:rsidR="00226A28" w:rsidRDefault="00117AD2">
            <w:pPr>
              <w:spacing w:after="40"/>
            </w:pPr>
            <w:r>
              <w:rPr>
                <w:sz w:val="19"/>
              </w:rPr>
              <w:t>Вътрешна комуникация и участие на членовете</w:t>
            </w:r>
          </w:p>
        </w:tc>
        <w:tc>
          <w:tcPr>
            <w:tcW w:w="3211" w:type="dxa"/>
            <w:vAlign w:val="center"/>
          </w:tcPr>
          <w:p w14:paraId="62D6E0E6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9</w:t>
            </w:r>
          </w:p>
        </w:tc>
        <w:tc>
          <w:tcPr>
            <w:tcW w:w="3211" w:type="dxa"/>
            <w:vAlign w:val="center"/>
          </w:tcPr>
          <w:p w14:paraId="687EC16D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45%</w:t>
            </w:r>
          </w:p>
        </w:tc>
      </w:tr>
      <w:tr w:rsidR="00226A28" w14:paraId="6214093A" w14:textId="77777777">
        <w:trPr>
          <w:jc w:val="center"/>
        </w:trPr>
        <w:tc>
          <w:tcPr>
            <w:tcW w:w="3211" w:type="dxa"/>
            <w:vAlign w:val="center"/>
          </w:tcPr>
          <w:p w14:paraId="6C7CEAC6" w14:textId="77777777" w:rsidR="00226A28" w:rsidRDefault="00117AD2">
            <w:pPr>
              <w:spacing w:after="40"/>
            </w:pPr>
            <w:r>
              <w:rPr>
                <w:sz w:val="19"/>
              </w:rPr>
              <w:t>IAWJ и други международни мрежи</w:t>
            </w:r>
          </w:p>
        </w:tc>
        <w:tc>
          <w:tcPr>
            <w:tcW w:w="3211" w:type="dxa"/>
            <w:vAlign w:val="center"/>
          </w:tcPr>
          <w:p w14:paraId="0F47A5F8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w="3211" w:type="dxa"/>
            <w:vAlign w:val="center"/>
          </w:tcPr>
          <w:p w14:paraId="4AB6CE45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35%</w:t>
            </w:r>
          </w:p>
        </w:tc>
      </w:tr>
    </w:tbl>
    <w:p w14:paraId="35B2DFF2" w14:textId="77777777" w:rsidR="00226A28" w:rsidRDefault="00226A28"/>
    <w:p w14:paraId="2A4613A4" w14:textId="77777777" w:rsidR="00226A28" w:rsidRDefault="00117AD2">
      <w:pPr>
        <w:pStyle w:val="Heading2"/>
      </w:pPr>
      <w:r>
        <w:t>Готовност за лично участие</w:t>
      </w:r>
    </w:p>
    <w:p w14:paraId="5D6C546A" w14:textId="77777777" w:rsidR="00226A28" w:rsidRDefault="00117AD2">
      <w:pPr>
        <w:jc w:val="both"/>
      </w:pPr>
      <w:r>
        <w:t>Отговорите показват предпочитание към гъвкаво включване според конкретната инициатива или проект, което следва да бъде отчетено при годишното планиране и формирането на работни екипи.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08"/>
        <w:gridCol w:w="3207"/>
        <w:gridCol w:w="3207"/>
      </w:tblGrid>
      <w:tr w:rsidR="00226A28" w14:paraId="469C470E" w14:textId="77777777">
        <w:trPr>
          <w:jc w:val="center"/>
        </w:trPr>
        <w:tc>
          <w:tcPr>
            <w:tcW w:w="3211" w:type="dxa"/>
            <w:shd w:val="clear" w:color="auto" w:fill="D9E2F3"/>
          </w:tcPr>
          <w:p w14:paraId="1FEF5E8C" w14:textId="77777777" w:rsidR="00226A28" w:rsidRDefault="00117AD2">
            <w:pPr>
              <w:spacing w:after="40"/>
            </w:pPr>
            <w:r>
              <w:rPr>
                <w:b/>
                <w:sz w:val="19"/>
              </w:rPr>
              <w:t>Отговор</w:t>
            </w:r>
          </w:p>
        </w:tc>
        <w:tc>
          <w:tcPr>
            <w:tcW w:w="3211" w:type="dxa"/>
            <w:shd w:val="clear" w:color="auto" w:fill="D9E2F3"/>
          </w:tcPr>
          <w:p w14:paraId="3D0AD3E3" w14:textId="77777777" w:rsidR="00226A28" w:rsidRDefault="00117AD2">
            <w:pPr>
              <w:spacing w:after="40"/>
            </w:pPr>
            <w:r>
              <w:rPr>
                <w:b/>
                <w:sz w:val="19"/>
              </w:rPr>
              <w:t>Брой</w:t>
            </w:r>
          </w:p>
        </w:tc>
        <w:tc>
          <w:tcPr>
            <w:tcW w:w="3211" w:type="dxa"/>
            <w:shd w:val="clear" w:color="auto" w:fill="D9E2F3"/>
          </w:tcPr>
          <w:p w14:paraId="636F79B0" w14:textId="77777777" w:rsidR="00226A28" w:rsidRDefault="00117AD2">
            <w:pPr>
              <w:spacing w:after="40"/>
            </w:pPr>
            <w:r>
              <w:rPr>
                <w:b/>
                <w:sz w:val="19"/>
              </w:rPr>
              <w:t>%</w:t>
            </w:r>
          </w:p>
        </w:tc>
      </w:tr>
      <w:tr w:rsidR="00226A28" w14:paraId="649C03A9" w14:textId="77777777">
        <w:trPr>
          <w:jc w:val="center"/>
        </w:trPr>
        <w:tc>
          <w:tcPr>
            <w:tcW w:w="3211" w:type="dxa"/>
          </w:tcPr>
          <w:p w14:paraId="745EB00F" w14:textId="77777777" w:rsidR="00226A28" w:rsidRDefault="00117AD2">
            <w:pPr>
              <w:spacing w:after="40"/>
            </w:pPr>
            <w:r>
              <w:rPr>
                <w:sz w:val="19"/>
              </w:rPr>
              <w:t>В зависимост от конкретната инициатива или проект</w:t>
            </w:r>
          </w:p>
        </w:tc>
        <w:tc>
          <w:tcPr>
            <w:tcW w:w="3211" w:type="dxa"/>
          </w:tcPr>
          <w:p w14:paraId="6F9536B1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10</w:t>
            </w:r>
          </w:p>
        </w:tc>
        <w:tc>
          <w:tcPr>
            <w:tcW w:w="3211" w:type="dxa"/>
          </w:tcPr>
          <w:p w14:paraId="4A601F42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50%</w:t>
            </w:r>
          </w:p>
        </w:tc>
      </w:tr>
      <w:tr w:rsidR="00226A28" w14:paraId="1E85085A" w14:textId="77777777">
        <w:trPr>
          <w:jc w:val="center"/>
        </w:trPr>
        <w:tc>
          <w:tcPr>
            <w:tcW w:w="3211" w:type="dxa"/>
          </w:tcPr>
          <w:p w14:paraId="50455EAF" w14:textId="77777777" w:rsidR="00226A28" w:rsidRDefault="00117AD2">
            <w:pPr>
              <w:spacing w:after="40"/>
            </w:pPr>
            <w:r>
              <w:rPr>
                <w:sz w:val="19"/>
              </w:rPr>
              <w:t>„Съд и общество“</w:t>
            </w:r>
          </w:p>
        </w:tc>
        <w:tc>
          <w:tcPr>
            <w:tcW w:w="3211" w:type="dxa"/>
          </w:tcPr>
          <w:p w14:paraId="104E35D2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8</w:t>
            </w:r>
          </w:p>
        </w:tc>
        <w:tc>
          <w:tcPr>
            <w:tcW w:w="3211" w:type="dxa"/>
          </w:tcPr>
          <w:p w14:paraId="23736F64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40%</w:t>
            </w:r>
          </w:p>
        </w:tc>
      </w:tr>
      <w:tr w:rsidR="00226A28" w14:paraId="0A4D9C22" w14:textId="77777777">
        <w:trPr>
          <w:jc w:val="center"/>
        </w:trPr>
        <w:tc>
          <w:tcPr>
            <w:tcW w:w="3211" w:type="dxa"/>
          </w:tcPr>
          <w:p w14:paraId="709E20EF" w14:textId="77777777" w:rsidR="00226A28" w:rsidRDefault="00117AD2">
            <w:pPr>
              <w:spacing w:after="40"/>
            </w:pPr>
            <w:r>
              <w:rPr>
                <w:sz w:val="19"/>
              </w:rPr>
              <w:t>Съдийска общност и благополучие</w:t>
            </w:r>
          </w:p>
        </w:tc>
        <w:tc>
          <w:tcPr>
            <w:tcW w:w="3211" w:type="dxa"/>
          </w:tcPr>
          <w:p w14:paraId="7D627286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w="3211" w:type="dxa"/>
          </w:tcPr>
          <w:p w14:paraId="44D068B4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35%</w:t>
            </w:r>
          </w:p>
        </w:tc>
      </w:tr>
      <w:tr w:rsidR="00226A28" w14:paraId="1F8EDF4C" w14:textId="77777777">
        <w:trPr>
          <w:jc w:val="center"/>
        </w:trPr>
        <w:tc>
          <w:tcPr>
            <w:tcW w:w="3211" w:type="dxa"/>
          </w:tcPr>
          <w:p w14:paraId="5E6B768D" w14:textId="77777777" w:rsidR="00226A28" w:rsidRDefault="00117AD2">
            <w:pPr>
              <w:spacing w:after="40"/>
            </w:pPr>
            <w:r>
              <w:rPr>
                <w:sz w:val="19"/>
              </w:rPr>
              <w:t>Независимост, почтеност и качество на правосъдието</w:t>
            </w:r>
          </w:p>
        </w:tc>
        <w:tc>
          <w:tcPr>
            <w:tcW w:w="3211" w:type="dxa"/>
          </w:tcPr>
          <w:p w14:paraId="5BAFF3E2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3211" w:type="dxa"/>
          </w:tcPr>
          <w:p w14:paraId="082C1E30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25%</w:t>
            </w:r>
          </w:p>
        </w:tc>
      </w:tr>
      <w:tr w:rsidR="00226A28" w14:paraId="24B0F21B" w14:textId="77777777">
        <w:trPr>
          <w:jc w:val="center"/>
        </w:trPr>
        <w:tc>
          <w:tcPr>
            <w:tcW w:w="3211" w:type="dxa"/>
          </w:tcPr>
          <w:p w14:paraId="47192181" w14:textId="77777777" w:rsidR="00226A28" w:rsidRDefault="00117AD2">
            <w:pPr>
              <w:spacing w:after="40"/>
            </w:pPr>
            <w:r>
              <w:rPr>
                <w:sz w:val="19"/>
              </w:rPr>
              <w:t>На този етап не мога да поема ангажимент</w:t>
            </w:r>
          </w:p>
        </w:tc>
        <w:tc>
          <w:tcPr>
            <w:tcW w:w="3211" w:type="dxa"/>
          </w:tcPr>
          <w:p w14:paraId="2A2722DD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3211" w:type="dxa"/>
          </w:tcPr>
          <w:p w14:paraId="3A713953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25%</w:t>
            </w:r>
          </w:p>
        </w:tc>
      </w:tr>
      <w:tr w:rsidR="00226A28" w14:paraId="061BFA9A" w14:textId="77777777">
        <w:trPr>
          <w:jc w:val="center"/>
        </w:trPr>
        <w:tc>
          <w:tcPr>
            <w:tcW w:w="3211" w:type="dxa"/>
          </w:tcPr>
          <w:p w14:paraId="3344BE31" w14:textId="77777777" w:rsidR="00226A28" w:rsidRDefault="00117AD2">
            <w:pPr>
              <w:spacing w:after="40"/>
            </w:pPr>
            <w:r>
              <w:rPr>
                <w:sz w:val="19"/>
              </w:rPr>
              <w:t>Равнопоставеност и професионално развитие на жените съдии</w:t>
            </w:r>
          </w:p>
        </w:tc>
        <w:tc>
          <w:tcPr>
            <w:tcW w:w="3211" w:type="dxa"/>
          </w:tcPr>
          <w:p w14:paraId="6F41231B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3211" w:type="dxa"/>
          </w:tcPr>
          <w:p w14:paraId="30ECC3B0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20%</w:t>
            </w:r>
          </w:p>
        </w:tc>
      </w:tr>
      <w:tr w:rsidR="00226A28" w14:paraId="6267ECCF" w14:textId="77777777">
        <w:trPr>
          <w:jc w:val="center"/>
        </w:trPr>
        <w:tc>
          <w:tcPr>
            <w:tcW w:w="3211" w:type="dxa"/>
          </w:tcPr>
          <w:p w14:paraId="7A699A3E" w14:textId="77777777" w:rsidR="00226A28" w:rsidRDefault="00117AD2">
            <w:pPr>
              <w:spacing w:after="40"/>
            </w:pPr>
            <w:r>
              <w:rPr>
                <w:sz w:val="19"/>
              </w:rPr>
              <w:t>Организационно развитие и международно сътрудничество</w:t>
            </w:r>
          </w:p>
        </w:tc>
        <w:tc>
          <w:tcPr>
            <w:tcW w:w="3211" w:type="dxa"/>
          </w:tcPr>
          <w:p w14:paraId="404F347C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3211" w:type="dxa"/>
          </w:tcPr>
          <w:p w14:paraId="399D4B8B" w14:textId="77777777" w:rsidR="00226A28" w:rsidRDefault="00117AD2">
            <w:pPr>
              <w:spacing w:after="40"/>
              <w:jc w:val="center"/>
            </w:pPr>
            <w:r>
              <w:rPr>
                <w:sz w:val="19"/>
              </w:rPr>
              <w:t>15%</w:t>
            </w:r>
          </w:p>
        </w:tc>
      </w:tr>
    </w:tbl>
    <w:p w14:paraId="47F4AED2" w14:textId="77777777" w:rsidR="00117AD2" w:rsidRDefault="00117AD2"/>
    <w:sectPr w:rsidR="00117AD2" w:rsidSect="00034616">
      <w:headerReference w:type="default" r:id="rId8"/>
      <w:footerReference w:type="default" r:id="rId9"/>
      <w:pgSz w:w="12240" w:h="15840"/>
      <w:pgMar w:top="1134" w:right="1304" w:bottom="102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9181D" w14:textId="77777777" w:rsidR="00EE6421" w:rsidRDefault="00EE6421">
      <w:pPr>
        <w:spacing w:after="0" w:line="240" w:lineRule="auto"/>
      </w:pPr>
      <w:r>
        <w:separator/>
      </w:r>
    </w:p>
  </w:endnote>
  <w:endnote w:type="continuationSeparator" w:id="0">
    <w:p w14:paraId="4B345E0D" w14:textId="77777777" w:rsidR="00EE6421" w:rsidRDefault="00EE6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D7FE7" w14:textId="77777777" w:rsidR="00226A28" w:rsidRDefault="00117AD2">
    <w:pPr>
      <w:pStyle w:val="Footer"/>
      <w:jc w:val="center"/>
    </w:pPr>
    <w:r>
      <w:rPr>
        <w:sz w:val="17"/>
      </w:rPr>
      <w:t>АЖСБ • Стратегия 2027–2030</w:t>
    </w:r>
    <w:r>
      <w:t xml:space="preserve">  |  </w:t>
    </w:r>
    <w:r>
      <w:fldChar w:fldCharType="begin"/>
    </w:r>
    <w:r>
      <w:instrText>PAGE</w:instrText>
    </w:r>
    <w:r>
      <w:fldChar w:fldCharType="separate"/>
    </w:r>
    <w:r w:rsidR="00E9282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08399" w14:textId="77777777" w:rsidR="00EE6421" w:rsidRDefault="00EE6421">
      <w:pPr>
        <w:spacing w:after="0" w:line="240" w:lineRule="auto"/>
      </w:pPr>
      <w:r>
        <w:separator/>
      </w:r>
    </w:p>
  </w:footnote>
  <w:footnote w:type="continuationSeparator" w:id="0">
    <w:p w14:paraId="529A22B6" w14:textId="77777777" w:rsidR="00EE6421" w:rsidRDefault="00EE64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85436" w14:textId="7539B510" w:rsidR="00226A28" w:rsidRPr="002C14DE" w:rsidRDefault="00117AD2">
    <w:pPr>
      <w:pStyle w:val="Header"/>
      <w:jc w:val="center"/>
      <w:rPr>
        <w:lang w:val="bg-BG"/>
      </w:rPr>
    </w:pPr>
    <w:r>
      <w:rPr>
        <w:sz w:val="17"/>
      </w:rPr>
      <w:t xml:space="preserve">АЖСБ • Стратегия 2027–2030 •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7CA0B15"/>
    <w:multiLevelType w:val="multilevel"/>
    <w:tmpl w:val="955A1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356CAC"/>
    <w:multiLevelType w:val="multilevel"/>
    <w:tmpl w:val="C616B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3558670">
    <w:abstractNumId w:val="8"/>
  </w:num>
  <w:num w:numId="2" w16cid:durableId="662706552">
    <w:abstractNumId w:val="6"/>
  </w:num>
  <w:num w:numId="3" w16cid:durableId="1043556004">
    <w:abstractNumId w:val="5"/>
  </w:num>
  <w:num w:numId="4" w16cid:durableId="1266301248">
    <w:abstractNumId w:val="4"/>
  </w:num>
  <w:num w:numId="5" w16cid:durableId="1613517280">
    <w:abstractNumId w:val="7"/>
  </w:num>
  <w:num w:numId="6" w16cid:durableId="114492927">
    <w:abstractNumId w:val="3"/>
  </w:num>
  <w:num w:numId="7" w16cid:durableId="56443824">
    <w:abstractNumId w:val="2"/>
  </w:num>
  <w:num w:numId="8" w16cid:durableId="423115019">
    <w:abstractNumId w:val="1"/>
  </w:num>
  <w:num w:numId="9" w16cid:durableId="222178384">
    <w:abstractNumId w:val="0"/>
  </w:num>
  <w:num w:numId="10" w16cid:durableId="989136337">
    <w:abstractNumId w:val="9"/>
  </w:num>
  <w:num w:numId="11" w16cid:durableId="9688973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00C4"/>
    <w:rsid w:val="000F74C7"/>
    <w:rsid w:val="00117AD2"/>
    <w:rsid w:val="0015074B"/>
    <w:rsid w:val="00226A28"/>
    <w:rsid w:val="00245FF4"/>
    <w:rsid w:val="0029639D"/>
    <w:rsid w:val="002C14DE"/>
    <w:rsid w:val="00326F90"/>
    <w:rsid w:val="00360EE2"/>
    <w:rsid w:val="004C5423"/>
    <w:rsid w:val="0059156C"/>
    <w:rsid w:val="00812C9E"/>
    <w:rsid w:val="00903A0F"/>
    <w:rsid w:val="00932322"/>
    <w:rsid w:val="009854EF"/>
    <w:rsid w:val="00A42B55"/>
    <w:rsid w:val="00A957BD"/>
    <w:rsid w:val="00AA1D8D"/>
    <w:rsid w:val="00AF2A60"/>
    <w:rsid w:val="00B47730"/>
    <w:rsid w:val="00B826EF"/>
    <w:rsid w:val="00BC624D"/>
    <w:rsid w:val="00BD0068"/>
    <w:rsid w:val="00CA68AB"/>
    <w:rsid w:val="00CB0664"/>
    <w:rsid w:val="00D37136"/>
    <w:rsid w:val="00D909C6"/>
    <w:rsid w:val="00DF67C8"/>
    <w:rsid w:val="00E12F37"/>
    <w:rsid w:val="00E92829"/>
    <w:rsid w:val="00EB33DC"/>
    <w:rsid w:val="00EE2847"/>
    <w:rsid w:val="00EE6421"/>
    <w:rsid w:val="00FC33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A9D495"/>
  <w14:defaultImageDpi w14:val="300"/>
  <w15:docId w15:val="{6B0D2D67-AA2B-408E-B871-FC05A8480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2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CA68A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szCs w:val="24"/>
      <w14:ligatures w14:val="standardContextual"/>
    </w:rPr>
  </w:style>
  <w:style w:type="paragraph" w:customStyle="1" w:styleId="Normal1">
    <w:name w:val="Normal1"/>
    <w:basedOn w:val="Normal"/>
    <w:rsid w:val="00CA68AB"/>
    <w:pPr>
      <w:spacing w:line="256" w:lineRule="auto"/>
    </w:pPr>
    <w:rPr>
      <w:rFonts w:cs="Times New Roman"/>
      <w:kern w:val="2"/>
      <w14:ligatures w14:val="standardContextual"/>
    </w:rPr>
  </w:style>
  <w:style w:type="table" w:styleId="GridTable4-Accent1">
    <w:name w:val="Grid Table 4 Accent 1"/>
    <w:basedOn w:val="TableNormal"/>
    <w:uiPriority w:val="49"/>
    <w:rsid w:val="00CA68AB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3624</Words>
  <Characters>20658</Characters>
  <Application>Microsoft Office Word</Application>
  <DocSecurity>0</DocSecurity>
  <Lines>172</Lines>
  <Paragraphs>48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24234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Angelina Y. Lazarova</cp:lastModifiedBy>
  <cp:revision>5</cp:revision>
  <dcterms:created xsi:type="dcterms:W3CDTF">2026-10-08T09:52:00Z</dcterms:created>
  <dcterms:modified xsi:type="dcterms:W3CDTF">2026-10-13T08:44:00Z</dcterms:modified>
  <cp:category/>
</cp:coreProperties>
</file>